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D2" w:rsidRPr="000C66F0" w:rsidRDefault="00076BD2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FF0000"/>
          <w:szCs w:val="22"/>
          <w:lang w:val="hr-HR"/>
        </w:rPr>
      </w:pPr>
    </w:p>
    <w:p w:rsidR="00895C3E" w:rsidRPr="000C66F0" w:rsidRDefault="00895C3E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FF0000"/>
          <w:szCs w:val="22"/>
          <w:lang w:val="hr-HR"/>
        </w:rPr>
      </w:pPr>
    </w:p>
    <w:p w:rsidR="00895C3E" w:rsidRPr="000C66F0" w:rsidRDefault="00895C3E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FF0000"/>
          <w:szCs w:val="22"/>
          <w:lang w:val="hr-HR"/>
        </w:rPr>
      </w:pPr>
    </w:p>
    <w:p w:rsidR="00895C3E" w:rsidRPr="000C66F0" w:rsidRDefault="00895C3E" w:rsidP="00895C3E">
      <w:pPr>
        <w:pStyle w:val="SubHead"/>
        <w:spacing w:line="276" w:lineRule="auto"/>
        <w:jc w:val="center"/>
        <w:rPr>
          <w:rFonts w:cs="Arial"/>
          <w:szCs w:val="22"/>
          <w:lang w:val="hr-HR"/>
        </w:rPr>
      </w:pPr>
      <w:r w:rsidRPr="000C66F0">
        <w:rPr>
          <w:rFonts w:cs="Arial"/>
          <w:szCs w:val="22"/>
          <w:lang w:val="hr-HR"/>
        </w:rPr>
        <w:t>Informacije za tisak</w:t>
      </w:r>
    </w:p>
    <w:p w:rsidR="00895C3E" w:rsidRPr="000C66F0" w:rsidRDefault="00895C3E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FF0000"/>
          <w:szCs w:val="22"/>
          <w:lang w:val="hr-HR"/>
        </w:rPr>
      </w:pPr>
    </w:p>
    <w:p w:rsidR="00076BD2" w:rsidRPr="000C66F0" w:rsidRDefault="00076BD2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FF0000"/>
          <w:szCs w:val="22"/>
          <w:lang w:val="hr-HR"/>
        </w:rPr>
      </w:pPr>
    </w:p>
    <w:p w:rsidR="00714C1D" w:rsidRPr="000C66F0" w:rsidRDefault="0013055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b/>
          <w:color w:val="auto"/>
          <w:szCs w:val="22"/>
          <w:lang w:val="hr-HR"/>
        </w:rPr>
        <w:t>Stručnjaci za oplate</w:t>
      </w:r>
      <w:r w:rsidR="008100B0" w:rsidRPr="000C66F0">
        <w:rPr>
          <w:rFonts w:cs="Arial"/>
          <w:b/>
          <w:color w:val="auto"/>
          <w:szCs w:val="22"/>
          <w:lang w:val="hr-HR"/>
        </w:rPr>
        <w:t xml:space="preserve"> </w:t>
      </w:r>
      <w:r w:rsidR="00BA29C0" w:rsidRPr="000C66F0">
        <w:rPr>
          <w:rFonts w:cs="Arial"/>
          <w:b/>
          <w:color w:val="auto"/>
          <w:szCs w:val="22"/>
          <w:lang w:val="hr-HR"/>
        </w:rPr>
        <w:t>za</w:t>
      </w:r>
      <w:r w:rsidRPr="000C66F0">
        <w:rPr>
          <w:rFonts w:cs="Arial"/>
          <w:b/>
          <w:color w:val="auto"/>
          <w:szCs w:val="22"/>
          <w:lang w:val="hr-HR"/>
        </w:rPr>
        <w:t xml:space="preserve"> </w:t>
      </w:r>
      <w:r w:rsidR="00BA29C0" w:rsidRPr="000C66F0">
        <w:rPr>
          <w:rFonts w:cs="Arial"/>
          <w:b/>
          <w:color w:val="auto"/>
          <w:szCs w:val="22"/>
          <w:lang w:val="hr-HR"/>
        </w:rPr>
        <w:t>e</w:t>
      </w:r>
      <w:r w:rsidR="00430A89" w:rsidRPr="000C66F0">
        <w:rPr>
          <w:rFonts w:cs="Arial"/>
          <w:b/>
          <w:color w:val="auto"/>
          <w:szCs w:val="22"/>
          <w:lang w:val="hr-HR"/>
        </w:rPr>
        <w:t>nergetsk</w:t>
      </w:r>
      <w:r w:rsidR="00BA29C0" w:rsidRPr="000C66F0">
        <w:rPr>
          <w:rFonts w:cs="Arial"/>
          <w:b/>
          <w:color w:val="auto"/>
          <w:szCs w:val="22"/>
          <w:lang w:val="hr-HR"/>
        </w:rPr>
        <w:t>e</w:t>
      </w:r>
      <w:r w:rsidR="00430A89" w:rsidRPr="000C66F0">
        <w:rPr>
          <w:rFonts w:cs="Arial"/>
          <w:b/>
          <w:color w:val="auto"/>
          <w:szCs w:val="22"/>
          <w:lang w:val="hr-HR"/>
        </w:rPr>
        <w:t xml:space="preserve"> objekte</w:t>
      </w:r>
    </w:p>
    <w:p w:rsidR="00372546" w:rsidRPr="000C66F0" w:rsidRDefault="008100B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b/>
          <w:color w:val="auto"/>
          <w:szCs w:val="22"/>
          <w:lang w:val="hr-HR"/>
        </w:rPr>
        <w:br/>
      </w:r>
      <w:r w:rsidRPr="000C66F0">
        <w:rPr>
          <w:rFonts w:cs="Arial"/>
          <w:color w:val="auto"/>
          <w:szCs w:val="22"/>
          <w:lang w:val="hr-HR"/>
        </w:rPr>
        <w:br/>
      </w:r>
      <w:r w:rsidRPr="000C66F0">
        <w:rPr>
          <w:rFonts w:cs="Arial"/>
          <w:b/>
          <w:color w:val="auto"/>
          <w:szCs w:val="22"/>
          <w:lang w:val="hr-HR"/>
        </w:rPr>
        <w:t>Potr</w:t>
      </w:r>
      <w:r w:rsidR="0081290E" w:rsidRPr="000C66F0">
        <w:rPr>
          <w:rFonts w:cs="Arial"/>
          <w:b/>
          <w:color w:val="auto"/>
          <w:szCs w:val="22"/>
          <w:lang w:val="hr-HR"/>
        </w:rPr>
        <w:t>ažnja</w:t>
      </w:r>
      <w:r w:rsidRPr="000C66F0">
        <w:rPr>
          <w:rFonts w:cs="Arial"/>
          <w:b/>
          <w:color w:val="auto"/>
          <w:szCs w:val="22"/>
          <w:lang w:val="hr-HR"/>
        </w:rPr>
        <w:t xml:space="preserve"> za energijom svakodnevno raste u sv</w:t>
      </w:r>
      <w:r w:rsidR="000D6022" w:rsidRPr="000C66F0">
        <w:rPr>
          <w:rFonts w:cs="Arial"/>
          <w:b/>
          <w:color w:val="auto"/>
          <w:szCs w:val="22"/>
          <w:lang w:val="hr-HR"/>
        </w:rPr>
        <w:t>ij</w:t>
      </w:r>
      <w:r w:rsidRPr="000C66F0">
        <w:rPr>
          <w:rFonts w:cs="Arial"/>
          <w:b/>
          <w:color w:val="auto"/>
          <w:szCs w:val="22"/>
          <w:lang w:val="hr-HR"/>
        </w:rPr>
        <w:t>etu,</w:t>
      </w:r>
      <w:r w:rsidR="000D6022" w:rsidRPr="000C66F0">
        <w:rPr>
          <w:rFonts w:cs="Arial"/>
          <w:b/>
          <w:color w:val="auto"/>
          <w:szCs w:val="22"/>
          <w:lang w:val="hr-HR"/>
        </w:rPr>
        <w:t xml:space="preserve"> </w:t>
      </w:r>
      <w:r w:rsidR="00101A73" w:rsidRPr="000C66F0">
        <w:rPr>
          <w:rFonts w:cs="Arial"/>
          <w:b/>
          <w:color w:val="auto"/>
          <w:szCs w:val="22"/>
          <w:lang w:val="hr-HR"/>
        </w:rPr>
        <w:t xml:space="preserve">stoga je iznimno važno </w:t>
      </w:r>
      <w:r w:rsidR="00B84E30" w:rsidRPr="000C66F0">
        <w:rPr>
          <w:rFonts w:cs="Arial"/>
          <w:b/>
          <w:color w:val="auto"/>
          <w:szCs w:val="22"/>
          <w:lang w:val="hr-HR"/>
        </w:rPr>
        <w:t>osigurati opskrbu</w:t>
      </w:r>
      <w:r w:rsidR="00101A73" w:rsidRPr="000C66F0">
        <w:rPr>
          <w:rFonts w:cs="Arial"/>
          <w:b/>
          <w:color w:val="auto"/>
          <w:szCs w:val="22"/>
          <w:lang w:val="hr-HR"/>
        </w:rPr>
        <w:t xml:space="preserve"> na ekološki održiv, učinkovit i siguran način</w:t>
      </w:r>
      <w:r w:rsidRPr="000C66F0">
        <w:rPr>
          <w:rFonts w:cs="Arial"/>
          <w:b/>
          <w:color w:val="auto"/>
          <w:szCs w:val="22"/>
          <w:lang w:val="hr-HR"/>
        </w:rPr>
        <w:t>.</w:t>
      </w:r>
      <w:r w:rsidR="00372546" w:rsidRPr="000C66F0">
        <w:rPr>
          <w:rFonts w:cs="Arial"/>
          <w:b/>
          <w:color w:val="auto"/>
          <w:szCs w:val="22"/>
          <w:lang w:val="hr-HR"/>
        </w:rPr>
        <w:t xml:space="preserve">  </w:t>
      </w:r>
      <w:r w:rsidR="00B84E30" w:rsidRPr="000C66F0">
        <w:rPr>
          <w:rFonts w:cs="Arial"/>
          <w:b/>
          <w:color w:val="auto"/>
          <w:szCs w:val="22"/>
          <w:lang w:val="hr-HR"/>
        </w:rPr>
        <w:t>Naime,</w:t>
      </w:r>
      <w:r w:rsidR="00714C1D" w:rsidRPr="000C66F0">
        <w:rPr>
          <w:rFonts w:cs="Arial"/>
          <w:b/>
          <w:color w:val="auto"/>
          <w:szCs w:val="22"/>
          <w:lang w:val="hr-HR"/>
        </w:rPr>
        <w:t xml:space="preserve"> potreba</w:t>
      </w:r>
      <w:r w:rsidR="000D6022" w:rsidRPr="000C66F0">
        <w:rPr>
          <w:rFonts w:cs="Arial"/>
          <w:b/>
          <w:color w:val="auto"/>
          <w:szCs w:val="22"/>
          <w:lang w:val="hr-HR"/>
        </w:rPr>
        <w:t xml:space="preserve"> za </w:t>
      </w:r>
      <w:r w:rsidR="00725B43" w:rsidRPr="000C66F0">
        <w:rPr>
          <w:rFonts w:cs="Arial"/>
          <w:b/>
          <w:color w:val="auto"/>
          <w:szCs w:val="22"/>
          <w:lang w:val="hr-HR"/>
        </w:rPr>
        <w:t>gradnjom</w:t>
      </w:r>
      <w:r w:rsidR="000D6022" w:rsidRPr="000C66F0">
        <w:rPr>
          <w:rFonts w:cs="Arial"/>
          <w:b/>
          <w:color w:val="auto"/>
          <w:szCs w:val="22"/>
          <w:lang w:val="hr-HR"/>
        </w:rPr>
        <w:t xml:space="preserve"> </w:t>
      </w:r>
      <w:r w:rsidR="00725B43" w:rsidRPr="000C66F0">
        <w:rPr>
          <w:rFonts w:cs="Arial"/>
          <w:b/>
          <w:color w:val="auto"/>
          <w:szCs w:val="22"/>
          <w:lang w:val="hr-HR"/>
        </w:rPr>
        <w:t>različitih vrsta elektrana, od hidroelektrana preko onih na</w:t>
      </w:r>
      <w:r w:rsidR="0081290E" w:rsidRPr="000C66F0">
        <w:rPr>
          <w:rFonts w:cs="Arial"/>
          <w:b/>
          <w:color w:val="auto"/>
          <w:szCs w:val="22"/>
          <w:lang w:val="hr-HR"/>
        </w:rPr>
        <w:t xml:space="preserve"> plin i ugljen pa sve do </w:t>
      </w:r>
      <w:proofErr w:type="spellStart"/>
      <w:r w:rsidR="0081290E" w:rsidRPr="000C66F0">
        <w:rPr>
          <w:rFonts w:cs="Arial"/>
          <w:b/>
          <w:color w:val="auto"/>
          <w:szCs w:val="22"/>
          <w:lang w:val="hr-HR"/>
        </w:rPr>
        <w:t>vjetro</w:t>
      </w:r>
      <w:r w:rsidR="00725B43" w:rsidRPr="000C66F0">
        <w:rPr>
          <w:rFonts w:cs="Arial"/>
          <w:b/>
          <w:color w:val="auto"/>
          <w:szCs w:val="22"/>
          <w:lang w:val="hr-HR"/>
        </w:rPr>
        <w:t>elektrana</w:t>
      </w:r>
      <w:proofErr w:type="spellEnd"/>
      <w:r w:rsidR="00725B43" w:rsidRPr="000C66F0">
        <w:rPr>
          <w:rFonts w:cs="Arial"/>
          <w:b/>
          <w:color w:val="auto"/>
          <w:szCs w:val="22"/>
          <w:lang w:val="hr-HR"/>
        </w:rPr>
        <w:t xml:space="preserve">, u tolikoj </w:t>
      </w:r>
      <w:r w:rsidR="00101A73" w:rsidRPr="000C66F0">
        <w:rPr>
          <w:rFonts w:cs="Arial"/>
          <w:b/>
          <w:color w:val="auto"/>
          <w:szCs w:val="22"/>
          <w:lang w:val="hr-HR"/>
        </w:rPr>
        <w:t xml:space="preserve">je </w:t>
      </w:r>
      <w:r w:rsidR="00725B43" w:rsidRPr="000C66F0">
        <w:rPr>
          <w:rFonts w:cs="Arial"/>
          <w:b/>
          <w:color w:val="auto"/>
          <w:szCs w:val="22"/>
          <w:lang w:val="hr-HR"/>
        </w:rPr>
        <w:t>mjeri raznolika koliko su i različiti načini proizvodnje</w:t>
      </w:r>
      <w:r w:rsidR="00714C1D" w:rsidRPr="000C66F0">
        <w:rPr>
          <w:rFonts w:cs="Arial"/>
          <w:b/>
          <w:color w:val="auto"/>
          <w:szCs w:val="22"/>
          <w:lang w:val="hr-HR"/>
        </w:rPr>
        <w:t xml:space="preserve"> energije</w:t>
      </w:r>
      <w:r w:rsidR="00725B43" w:rsidRPr="000C66F0">
        <w:rPr>
          <w:rFonts w:cs="Arial"/>
          <w:b/>
          <w:color w:val="auto"/>
          <w:szCs w:val="22"/>
          <w:lang w:val="hr-HR"/>
        </w:rPr>
        <w:t xml:space="preserve">. </w:t>
      </w:r>
      <w:r w:rsidR="00372546" w:rsidRPr="000C66F0">
        <w:rPr>
          <w:rFonts w:cs="Arial"/>
          <w:b/>
          <w:color w:val="auto"/>
          <w:szCs w:val="22"/>
          <w:lang w:val="hr-HR"/>
        </w:rPr>
        <w:t>Svaki od</w:t>
      </w:r>
      <w:r w:rsidR="00857E2F" w:rsidRPr="000C66F0">
        <w:rPr>
          <w:rFonts w:cs="Arial"/>
          <w:b/>
          <w:color w:val="auto"/>
          <w:szCs w:val="22"/>
          <w:lang w:val="hr-HR"/>
        </w:rPr>
        <w:t xml:space="preserve"> navedenih</w:t>
      </w:r>
      <w:r w:rsidR="00372546" w:rsidRPr="000C66F0">
        <w:rPr>
          <w:rFonts w:cs="Arial"/>
          <w:b/>
          <w:color w:val="auto"/>
          <w:szCs w:val="22"/>
          <w:lang w:val="hr-HR"/>
        </w:rPr>
        <w:t xml:space="preserve"> objekata </w:t>
      </w:r>
      <w:r w:rsidR="00857E2F" w:rsidRPr="000C66F0">
        <w:rPr>
          <w:rFonts w:cs="Arial"/>
          <w:b/>
          <w:color w:val="auto"/>
          <w:szCs w:val="22"/>
          <w:lang w:val="hr-HR"/>
        </w:rPr>
        <w:t>odlikuje se</w:t>
      </w:r>
      <w:r w:rsidR="00372546" w:rsidRPr="000C66F0">
        <w:rPr>
          <w:rFonts w:cs="Arial"/>
          <w:b/>
          <w:color w:val="auto"/>
          <w:szCs w:val="22"/>
          <w:lang w:val="hr-HR"/>
        </w:rPr>
        <w:t xml:space="preserve"> specifičnom strukturom i kompleksnim zaht</w:t>
      </w:r>
      <w:r w:rsidR="00857E2F" w:rsidRPr="000C66F0">
        <w:rPr>
          <w:rFonts w:cs="Arial"/>
          <w:b/>
          <w:color w:val="auto"/>
          <w:szCs w:val="22"/>
          <w:lang w:val="hr-HR"/>
        </w:rPr>
        <w:t>j</w:t>
      </w:r>
      <w:r w:rsidR="00372546" w:rsidRPr="000C66F0">
        <w:rPr>
          <w:rFonts w:cs="Arial"/>
          <w:b/>
          <w:color w:val="auto"/>
          <w:szCs w:val="22"/>
          <w:lang w:val="hr-HR"/>
        </w:rPr>
        <w:t>evima u po</w:t>
      </w:r>
      <w:r w:rsidR="00857E2F" w:rsidRPr="000C66F0">
        <w:rPr>
          <w:rFonts w:cs="Arial"/>
          <w:b/>
          <w:color w:val="auto"/>
          <w:szCs w:val="22"/>
          <w:lang w:val="hr-HR"/>
        </w:rPr>
        <w:t xml:space="preserve">gledu </w:t>
      </w:r>
      <w:r w:rsidR="00372546" w:rsidRPr="000C66F0">
        <w:rPr>
          <w:rFonts w:cs="Arial"/>
          <w:b/>
          <w:color w:val="auto"/>
          <w:szCs w:val="22"/>
          <w:lang w:val="hr-HR"/>
        </w:rPr>
        <w:t xml:space="preserve">oplatne tehnike. </w:t>
      </w:r>
      <w:r w:rsidR="00714C1D" w:rsidRPr="000C66F0">
        <w:rPr>
          <w:rFonts w:cs="Arial"/>
          <w:b/>
          <w:color w:val="auto"/>
          <w:szCs w:val="22"/>
          <w:lang w:val="hr-HR"/>
        </w:rPr>
        <w:t xml:space="preserve">Kao odgovor na njih, tvrtka </w:t>
      </w:r>
      <w:r w:rsidR="00372546" w:rsidRPr="000C66F0">
        <w:rPr>
          <w:rFonts w:cs="Arial"/>
          <w:b/>
          <w:color w:val="auto"/>
          <w:szCs w:val="22"/>
          <w:lang w:val="hr-HR"/>
        </w:rPr>
        <w:t xml:space="preserve">Doka </w:t>
      </w:r>
      <w:r w:rsidR="00857E2F" w:rsidRPr="000C66F0">
        <w:rPr>
          <w:rFonts w:cs="Arial"/>
          <w:b/>
          <w:color w:val="auto"/>
          <w:szCs w:val="22"/>
          <w:lang w:val="hr-HR"/>
        </w:rPr>
        <w:t xml:space="preserve">osigurava </w:t>
      </w:r>
      <w:r w:rsidR="00714C1D" w:rsidRPr="000C66F0">
        <w:rPr>
          <w:rFonts w:cs="Arial"/>
          <w:b/>
          <w:color w:val="auto"/>
          <w:szCs w:val="22"/>
          <w:lang w:val="hr-HR"/>
        </w:rPr>
        <w:t>potpuno prilagođena i cjelovita oplatna</w:t>
      </w:r>
      <w:r w:rsidR="00857E2F" w:rsidRPr="000C66F0">
        <w:rPr>
          <w:rFonts w:cs="Arial"/>
          <w:b/>
          <w:color w:val="auto"/>
          <w:szCs w:val="22"/>
          <w:lang w:val="hr-HR"/>
        </w:rPr>
        <w:t xml:space="preserve"> rješenja </w:t>
      </w:r>
      <w:r w:rsidR="00714C1D" w:rsidRPr="000C66F0">
        <w:rPr>
          <w:rFonts w:cs="Arial"/>
          <w:b/>
          <w:color w:val="auto"/>
          <w:szCs w:val="22"/>
          <w:lang w:val="hr-HR"/>
        </w:rPr>
        <w:t>uz stručnu podršku vlastitog Kompetencijskog centra za elektrane.</w:t>
      </w:r>
    </w:p>
    <w:p w:rsidR="00714C1D" w:rsidRPr="000C66F0" w:rsidRDefault="00714C1D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</w:p>
    <w:p w:rsidR="001C7436" w:rsidRPr="000C66F0" w:rsidRDefault="00714C1D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Gradilišta </w:t>
      </w:r>
      <w:r w:rsidR="002F570B" w:rsidRPr="000C66F0">
        <w:rPr>
          <w:rFonts w:cs="Arial"/>
          <w:color w:val="auto"/>
          <w:szCs w:val="22"/>
          <w:lang w:val="hr-HR"/>
        </w:rPr>
        <w:t xml:space="preserve">na teško pristupačnim </w:t>
      </w:r>
      <w:r w:rsidRPr="000C66F0">
        <w:rPr>
          <w:rFonts w:cs="Arial"/>
          <w:color w:val="auto"/>
          <w:szCs w:val="22"/>
          <w:lang w:val="hr-HR"/>
        </w:rPr>
        <w:t xml:space="preserve"> mjestima, posebni standardi u pogledu betona</w:t>
      </w:r>
      <w:r w:rsidR="002F570B" w:rsidRPr="000C66F0">
        <w:rPr>
          <w:rFonts w:cs="Arial"/>
          <w:color w:val="auto"/>
          <w:szCs w:val="22"/>
          <w:lang w:val="hr-HR"/>
        </w:rPr>
        <w:t xml:space="preserve">, potreba za optimalnim  vremenskim planiranjem svake pojedine faze gradnje </w:t>
      </w:r>
      <w:proofErr w:type="spellStart"/>
      <w:r w:rsidR="002F570B" w:rsidRPr="000C66F0">
        <w:rPr>
          <w:rFonts w:cs="Arial"/>
          <w:color w:val="auto"/>
          <w:szCs w:val="22"/>
          <w:lang w:val="hr-HR"/>
        </w:rPr>
        <w:t>itd</w:t>
      </w:r>
      <w:proofErr w:type="spellEnd"/>
      <w:r w:rsidR="002F570B" w:rsidRPr="000C66F0">
        <w:rPr>
          <w:rFonts w:cs="Arial"/>
          <w:color w:val="auto"/>
          <w:szCs w:val="22"/>
          <w:lang w:val="hr-HR"/>
        </w:rPr>
        <w:t xml:space="preserve">. samo su neki od izazova s kojima se susreću dobavljači oplata na projektima  izgradnje elektrana. Brzo napredovanje gradnje i što brži završetak svakako je primarni cilj, osobito u energetskom sektoru. </w:t>
      </w:r>
      <w:r w:rsidR="008D7EB7" w:rsidRPr="000C66F0">
        <w:rPr>
          <w:rFonts w:cs="Arial"/>
          <w:color w:val="auto"/>
          <w:szCs w:val="22"/>
          <w:lang w:val="hr-HR"/>
        </w:rPr>
        <w:t xml:space="preserve">Stoga </w:t>
      </w:r>
      <w:r w:rsidR="002F570B" w:rsidRPr="000C66F0">
        <w:rPr>
          <w:rFonts w:cs="Arial"/>
          <w:color w:val="auto"/>
          <w:szCs w:val="22"/>
          <w:lang w:val="hr-HR"/>
        </w:rPr>
        <w:t xml:space="preserve">Doka </w:t>
      </w:r>
      <w:r w:rsidR="008D7EB7" w:rsidRPr="000C66F0">
        <w:rPr>
          <w:rFonts w:cs="Arial"/>
          <w:color w:val="auto"/>
          <w:szCs w:val="22"/>
          <w:lang w:val="hr-HR"/>
        </w:rPr>
        <w:t>stručnjaci za oplate</w:t>
      </w:r>
      <w:r w:rsidR="002F570B" w:rsidRPr="000C66F0">
        <w:rPr>
          <w:rFonts w:cs="Arial"/>
          <w:color w:val="auto"/>
          <w:szCs w:val="22"/>
          <w:lang w:val="hr-HR"/>
        </w:rPr>
        <w:t xml:space="preserve"> </w:t>
      </w:r>
      <w:r w:rsidR="00B010C7" w:rsidRPr="000C66F0">
        <w:rPr>
          <w:rFonts w:cs="Arial"/>
          <w:color w:val="auto"/>
          <w:szCs w:val="22"/>
          <w:lang w:val="hr-HR"/>
        </w:rPr>
        <w:t>usmjeravaju svoju energiju na suradnju s klijentima te razvoj prilagođenih rješenja. Primjena modularnih oplatnih sustava dio je ovog koncepta kao i detaljan proces planiranja u svim fazama projekta uz osiguranje sigurnog radnog okruženja za sve sudionike na gradilištu.</w:t>
      </w:r>
      <w:r w:rsidR="00E51C62" w:rsidRPr="000C66F0">
        <w:rPr>
          <w:rFonts w:cs="Arial"/>
          <w:color w:val="auto"/>
          <w:szCs w:val="22"/>
          <w:lang w:val="hr-HR"/>
        </w:rPr>
        <w:tab/>
      </w:r>
      <w:r w:rsidR="008100B0" w:rsidRPr="000C66F0">
        <w:rPr>
          <w:rFonts w:cs="Arial"/>
          <w:color w:val="auto"/>
          <w:szCs w:val="22"/>
          <w:lang w:val="hr-HR"/>
        </w:rPr>
        <w:br/>
      </w:r>
    </w:p>
    <w:p w:rsidR="00B010C7" w:rsidRPr="000C66F0" w:rsidRDefault="00E038AC" w:rsidP="00EC23D2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 "Kao partner našim klijentima</w:t>
      </w:r>
      <w:r w:rsidR="008100B0" w:rsidRPr="000C66F0">
        <w:rPr>
          <w:rFonts w:cs="Arial"/>
          <w:color w:val="auto"/>
          <w:szCs w:val="22"/>
          <w:lang w:val="hr-HR"/>
        </w:rPr>
        <w:t xml:space="preserve">, </w:t>
      </w:r>
      <w:r w:rsidRPr="000C66F0">
        <w:rPr>
          <w:rFonts w:cs="Arial"/>
          <w:color w:val="auto"/>
          <w:szCs w:val="22"/>
          <w:lang w:val="hr-HR"/>
        </w:rPr>
        <w:t>mi pružamo kompletnu</w:t>
      </w:r>
      <w:r w:rsidR="008100B0" w:rsidRPr="000C66F0">
        <w:rPr>
          <w:rFonts w:cs="Arial"/>
          <w:color w:val="auto"/>
          <w:szCs w:val="22"/>
          <w:lang w:val="hr-HR"/>
        </w:rPr>
        <w:t xml:space="preserve"> podršk</w:t>
      </w:r>
      <w:r w:rsidR="00B010C7" w:rsidRPr="000C66F0">
        <w:rPr>
          <w:rFonts w:cs="Arial"/>
          <w:color w:val="auto"/>
          <w:szCs w:val="22"/>
          <w:lang w:val="hr-HR"/>
        </w:rPr>
        <w:t>u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r w:rsidRPr="000C66F0">
        <w:rPr>
          <w:rFonts w:cs="Arial"/>
          <w:color w:val="auto"/>
          <w:szCs w:val="22"/>
          <w:lang w:val="hr-HR"/>
        </w:rPr>
        <w:t xml:space="preserve">pri </w:t>
      </w:r>
      <w:r w:rsidR="008100B0" w:rsidRPr="000C66F0">
        <w:rPr>
          <w:rFonts w:cs="Arial"/>
          <w:color w:val="auto"/>
          <w:szCs w:val="22"/>
          <w:lang w:val="hr-HR"/>
        </w:rPr>
        <w:t>odlučivanju počev</w:t>
      </w:r>
      <w:r w:rsidRPr="000C66F0">
        <w:rPr>
          <w:rFonts w:cs="Arial"/>
          <w:color w:val="auto"/>
          <w:szCs w:val="22"/>
          <w:lang w:val="hr-HR"/>
        </w:rPr>
        <w:t>ši od faze razvoja</w:t>
      </w:r>
      <w:r w:rsidR="00B010C7" w:rsidRPr="000C66F0">
        <w:rPr>
          <w:rFonts w:cs="Arial"/>
          <w:color w:val="auto"/>
          <w:szCs w:val="22"/>
          <w:lang w:val="hr-HR"/>
        </w:rPr>
        <w:t xml:space="preserve"> projekta</w:t>
      </w:r>
      <w:r w:rsidR="008100B0" w:rsidRPr="000C66F0">
        <w:rPr>
          <w:rFonts w:cs="Arial"/>
          <w:color w:val="auto"/>
          <w:szCs w:val="22"/>
          <w:lang w:val="hr-HR"/>
        </w:rPr>
        <w:t xml:space="preserve">. </w:t>
      </w:r>
      <w:r w:rsidR="00292272" w:rsidRPr="000C66F0">
        <w:rPr>
          <w:rFonts w:cs="Arial"/>
          <w:color w:val="auto"/>
          <w:szCs w:val="22"/>
          <w:lang w:val="hr-HR"/>
        </w:rPr>
        <w:t xml:space="preserve">Što su prije naši stručnjaci uključeni u projekt, tim su veće šanse za učinkovitu izvedbu. </w:t>
      </w:r>
      <w:r w:rsidR="008100B0" w:rsidRPr="000C66F0">
        <w:rPr>
          <w:rFonts w:cs="Arial"/>
          <w:color w:val="auto"/>
          <w:szCs w:val="22"/>
          <w:lang w:val="hr-HR"/>
        </w:rPr>
        <w:t xml:space="preserve">" , </w:t>
      </w:r>
      <w:r w:rsidRPr="000C66F0">
        <w:rPr>
          <w:rFonts w:cs="Arial"/>
          <w:color w:val="auto"/>
          <w:szCs w:val="22"/>
          <w:lang w:val="hr-HR"/>
        </w:rPr>
        <w:t>kaže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8100B0" w:rsidRPr="000C66F0">
        <w:rPr>
          <w:rFonts w:cs="Arial"/>
          <w:color w:val="auto"/>
          <w:szCs w:val="22"/>
          <w:lang w:val="hr-HR"/>
        </w:rPr>
        <w:t>Guttenbrunn</w:t>
      </w:r>
      <w:r w:rsidRPr="000C66F0">
        <w:rPr>
          <w:rFonts w:cs="Arial"/>
          <w:color w:val="auto"/>
          <w:szCs w:val="22"/>
          <w:lang w:val="hr-HR"/>
        </w:rPr>
        <w:t>er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Pr="000C66F0">
        <w:rPr>
          <w:rFonts w:cs="Arial"/>
          <w:color w:val="auto"/>
          <w:szCs w:val="22"/>
          <w:lang w:val="hr-HR"/>
        </w:rPr>
        <w:t>Andreas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, </w:t>
      </w:r>
      <w:r w:rsidR="00292272" w:rsidRPr="000C66F0">
        <w:rPr>
          <w:rFonts w:cs="Arial"/>
          <w:color w:val="auto"/>
          <w:szCs w:val="22"/>
          <w:lang w:val="hr-HR"/>
        </w:rPr>
        <w:t>voditelj</w:t>
      </w:r>
      <w:r w:rsidR="00B84E30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B84E30" w:rsidRPr="000C66F0">
        <w:rPr>
          <w:rFonts w:cs="Arial"/>
          <w:color w:val="auto"/>
          <w:szCs w:val="22"/>
          <w:lang w:val="hr-HR"/>
        </w:rPr>
        <w:t>Dokinog</w:t>
      </w:r>
      <w:proofErr w:type="spellEnd"/>
      <w:r w:rsidR="00B84E30" w:rsidRPr="000C66F0">
        <w:rPr>
          <w:rFonts w:cs="Arial"/>
          <w:color w:val="auto"/>
          <w:szCs w:val="22"/>
          <w:lang w:val="hr-HR"/>
        </w:rPr>
        <w:t xml:space="preserve"> </w:t>
      </w:r>
      <w:r w:rsidR="00292272" w:rsidRPr="000C66F0">
        <w:rPr>
          <w:rFonts w:cs="Arial"/>
          <w:color w:val="auto"/>
          <w:szCs w:val="22"/>
          <w:lang w:val="hr-HR"/>
        </w:rPr>
        <w:t>Kompetencijskog centra za elektrane</w:t>
      </w:r>
      <w:r w:rsidR="002735CF" w:rsidRPr="000C66F0">
        <w:rPr>
          <w:rFonts w:cs="Arial"/>
          <w:color w:val="auto"/>
          <w:szCs w:val="22"/>
          <w:lang w:val="hr-HR"/>
        </w:rPr>
        <w:t>. „Svojom opsežnom ponudom tvrtka</w:t>
      </w:r>
      <w:r w:rsidR="008100B0" w:rsidRPr="000C66F0">
        <w:rPr>
          <w:rFonts w:cs="Arial"/>
          <w:color w:val="auto"/>
          <w:szCs w:val="22"/>
          <w:lang w:val="hr-HR"/>
        </w:rPr>
        <w:t xml:space="preserve"> Doka </w:t>
      </w:r>
      <w:r w:rsidRPr="000C66F0">
        <w:rPr>
          <w:rFonts w:cs="Arial"/>
          <w:color w:val="auto"/>
          <w:szCs w:val="22"/>
          <w:lang w:val="hr-HR"/>
        </w:rPr>
        <w:t>omoguć</w:t>
      </w:r>
      <w:r w:rsidR="002735CF" w:rsidRPr="000C66F0">
        <w:rPr>
          <w:rFonts w:cs="Arial"/>
          <w:color w:val="auto"/>
          <w:szCs w:val="22"/>
          <w:lang w:val="hr-HR"/>
        </w:rPr>
        <w:t xml:space="preserve">uje </w:t>
      </w:r>
      <w:r w:rsidRPr="000C66F0">
        <w:rPr>
          <w:rFonts w:cs="Arial"/>
          <w:color w:val="auto"/>
          <w:szCs w:val="22"/>
          <w:lang w:val="hr-HR"/>
        </w:rPr>
        <w:t xml:space="preserve">kompletnu </w:t>
      </w:r>
      <w:r w:rsidR="008100B0" w:rsidRPr="000C66F0">
        <w:rPr>
          <w:rFonts w:cs="Arial"/>
          <w:color w:val="auto"/>
          <w:szCs w:val="22"/>
          <w:lang w:val="hr-HR"/>
        </w:rPr>
        <w:t>podršku</w:t>
      </w:r>
      <w:r w:rsidRPr="000C66F0">
        <w:rPr>
          <w:rFonts w:cs="Arial"/>
          <w:color w:val="auto"/>
          <w:szCs w:val="22"/>
          <w:lang w:val="hr-HR"/>
        </w:rPr>
        <w:t xml:space="preserve"> t</w:t>
      </w:r>
      <w:r w:rsidR="002735CF" w:rsidRPr="000C66F0">
        <w:rPr>
          <w:rFonts w:cs="Arial"/>
          <w:color w:val="auto"/>
          <w:szCs w:val="22"/>
          <w:lang w:val="hr-HR"/>
        </w:rPr>
        <w:t>ijekom</w:t>
      </w:r>
      <w:r w:rsidRPr="000C66F0">
        <w:rPr>
          <w:rFonts w:cs="Arial"/>
          <w:color w:val="auto"/>
          <w:szCs w:val="22"/>
          <w:lang w:val="hr-HR"/>
        </w:rPr>
        <w:t xml:space="preserve"> čitavog trajanja projekta, pa sve do </w:t>
      </w:r>
      <w:r w:rsidR="002735CF" w:rsidRPr="000C66F0">
        <w:rPr>
          <w:rFonts w:cs="Arial"/>
          <w:color w:val="auto"/>
          <w:szCs w:val="22"/>
          <w:lang w:val="hr-HR"/>
        </w:rPr>
        <w:t xml:space="preserve">njegovog </w:t>
      </w:r>
      <w:r w:rsidRPr="000C66F0">
        <w:rPr>
          <w:rFonts w:cs="Arial"/>
          <w:color w:val="auto"/>
          <w:szCs w:val="22"/>
          <w:lang w:val="hr-HR"/>
        </w:rPr>
        <w:t>završetka.</w:t>
      </w:r>
      <w:r w:rsidR="008100B0" w:rsidRPr="000C66F0">
        <w:rPr>
          <w:rFonts w:cs="Arial"/>
          <w:color w:val="auto"/>
          <w:szCs w:val="22"/>
          <w:lang w:val="hr-HR"/>
        </w:rPr>
        <w:t>"</w:t>
      </w:r>
    </w:p>
    <w:p w:rsidR="00B156A8" w:rsidRPr="000C66F0" w:rsidRDefault="00B156A8" w:rsidP="00EC23D2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</w:p>
    <w:p w:rsidR="00B156A8" w:rsidRPr="000C66F0" w:rsidRDefault="00B156A8" w:rsidP="00EC23D2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Kod projekata izgradnje elektrana na različitim gradilištima, u </w:t>
      </w:r>
      <w:r w:rsidR="00295046" w:rsidRPr="000C66F0">
        <w:rPr>
          <w:rFonts w:cs="Arial"/>
          <w:color w:val="auto"/>
          <w:szCs w:val="22"/>
          <w:lang w:val="hr-HR"/>
        </w:rPr>
        <w:t>cilju</w:t>
      </w:r>
      <w:r w:rsidRPr="000C66F0">
        <w:rPr>
          <w:rFonts w:cs="Arial"/>
          <w:color w:val="auto"/>
          <w:szCs w:val="22"/>
          <w:lang w:val="hr-HR"/>
        </w:rPr>
        <w:t xml:space="preserve"> uspješnog napredovanja projekta posebnu važnost igra svestrani logistički kon</w:t>
      </w:r>
      <w:r w:rsidR="00295046" w:rsidRPr="000C66F0">
        <w:rPr>
          <w:rFonts w:cs="Arial"/>
          <w:color w:val="auto"/>
          <w:szCs w:val="22"/>
          <w:lang w:val="hr-HR"/>
        </w:rPr>
        <w:t xml:space="preserve">cept. U tu svrhu Doka </w:t>
      </w:r>
      <w:r w:rsidR="005A3BD7" w:rsidRPr="000C66F0">
        <w:rPr>
          <w:rFonts w:cs="Arial"/>
          <w:color w:val="auto"/>
          <w:szCs w:val="22"/>
          <w:lang w:val="hr-HR"/>
        </w:rPr>
        <w:t>primjenjuje</w:t>
      </w:r>
      <w:r w:rsidRPr="000C66F0">
        <w:rPr>
          <w:rFonts w:cs="Arial"/>
          <w:color w:val="auto"/>
          <w:szCs w:val="22"/>
          <w:lang w:val="hr-HR"/>
        </w:rPr>
        <w:t xml:space="preserve"> sveobuhvatan oplatni pristup koji podrazumijeva detaljno planiranje primjene oplate sve do 3D projektiranja kompleksnih gradilišta, </w:t>
      </w:r>
      <w:r w:rsidR="00295046" w:rsidRPr="000C66F0">
        <w:rPr>
          <w:rFonts w:cs="Arial"/>
          <w:color w:val="auto"/>
          <w:szCs w:val="22"/>
          <w:lang w:val="hr-HR"/>
        </w:rPr>
        <w:t xml:space="preserve">ali i sinergiju među različitim gradilištima čime </w:t>
      </w:r>
      <w:r w:rsidR="005A3BD7" w:rsidRPr="000C66F0">
        <w:rPr>
          <w:rFonts w:cs="Arial"/>
          <w:color w:val="auto"/>
          <w:szCs w:val="22"/>
          <w:lang w:val="hr-HR"/>
        </w:rPr>
        <w:t>se postiže ušteda</w:t>
      </w:r>
      <w:r w:rsidR="00295046" w:rsidRPr="000C66F0">
        <w:rPr>
          <w:rFonts w:cs="Arial"/>
          <w:color w:val="auto"/>
          <w:szCs w:val="22"/>
          <w:lang w:val="hr-HR"/>
        </w:rPr>
        <w:t xml:space="preserve"> materijala</w:t>
      </w:r>
      <w:r w:rsidR="005A3BD7" w:rsidRPr="000C66F0">
        <w:rPr>
          <w:rFonts w:cs="Arial"/>
          <w:color w:val="auto"/>
          <w:szCs w:val="22"/>
          <w:lang w:val="hr-HR"/>
        </w:rPr>
        <w:t>.</w:t>
      </w:r>
      <w:r w:rsidR="00430A89" w:rsidRPr="000C66F0">
        <w:rPr>
          <w:rFonts w:cs="Arial"/>
          <w:color w:val="auto"/>
          <w:szCs w:val="22"/>
          <w:lang w:val="hr-HR"/>
        </w:rPr>
        <w:t xml:space="preserve"> „Ukoliko angažirate Doku za određeno gradilište, izradit ćemo specijalno prilagođeno oplatno rješenje u skladu s individualnim zahtjevima pojedinog projekta.“ pojašnjava </w:t>
      </w:r>
      <w:proofErr w:type="spellStart"/>
      <w:r w:rsidR="00430A89" w:rsidRPr="000C66F0">
        <w:rPr>
          <w:rFonts w:cs="Arial"/>
          <w:color w:val="auto"/>
          <w:szCs w:val="22"/>
          <w:lang w:val="hr-HR"/>
        </w:rPr>
        <w:t>Andreas</w:t>
      </w:r>
      <w:proofErr w:type="spellEnd"/>
      <w:r w:rsidR="00430A89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430A89" w:rsidRPr="000C66F0">
        <w:rPr>
          <w:rFonts w:cs="Arial"/>
          <w:color w:val="auto"/>
          <w:szCs w:val="22"/>
          <w:lang w:val="hr-HR"/>
        </w:rPr>
        <w:t>Guttenbrunner</w:t>
      </w:r>
      <w:proofErr w:type="spellEnd"/>
      <w:r w:rsidR="00430A89" w:rsidRPr="000C66F0">
        <w:rPr>
          <w:rFonts w:cs="Arial"/>
          <w:color w:val="auto"/>
          <w:szCs w:val="22"/>
          <w:lang w:val="hr-HR"/>
        </w:rPr>
        <w:t xml:space="preserve">. </w:t>
      </w:r>
      <w:proofErr w:type="spellStart"/>
      <w:r w:rsidR="00430A89" w:rsidRPr="000C66F0">
        <w:rPr>
          <w:rFonts w:cs="Arial"/>
          <w:color w:val="auto"/>
          <w:szCs w:val="22"/>
          <w:lang w:val="hr-HR"/>
        </w:rPr>
        <w:t>Dokin</w:t>
      </w:r>
      <w:proofErr w:type="spellEnd"/>
      <w:r w:rsidR="00430A89" w:rsidRPr="000C66F0">
        <w:rPr>
          <w:rFonts w:cs="Arial"/>
          <w:color w:val="auto"/>
          <w:szCs w:val="22"/>
          <w:lang w:val="hr-HR"/>
        </w:rPr>
        <w:t xml:space="preserve"> portfelj uključuje oplatna rješenja za sve tipove elektrana</w:t>
      </w:r>
      <w:r w:rsidR="000A6CDC" w:rsidRPr="000C66F0">
        <w:rPr>
          <w:rFonts w:cs="Arial"/>
          <w:color w:val="auto"/>
          <w:szCs w:val="22"/>
          <w:lang w:val="hr-HR"/>
        </w:rPr>
        <w:t xml:space="preserve"> (hidroelektrane, </w:t>
      </w:r>
      <w:proofErr w:type="spellStart"/>
      <w:r w:rsidR="000A6CDC" w:rsidRPr="000C66F0">
        <w:rPr>
          <w:rFonts w:cs="Arial"/>
          <w:color w:val="auto"/>
          <w:szCs w:val="22"/>
          <w:lang w:val="hr-HR"/>
        </w:rPr>
        <w:t>vjetroelektrane</w:t>
      </w:r>
      <w:proofErr w:type="spellEnd"/>
      <w:r w:rsidR="000A6CDC" w:rsidRPr="000C66F0">
        <w:rPr>
          <w:rFonts w:cs="Arial"/>
          <w:color w:val="auto"/>
          <w:szCs w:val="22"/>
          <w:lang w:val="hr-HR"/>
        </w:rPr>
        <w:t xml:space="preserve">, te elektrane na plin,  naftu ili termoelektrane na ugljen) ali i profesionalnu podršku pri gradnji </w:t>
      </w:r>
      <w:r w:rsidR="000F4035" w:rsidRPr="000C66F0">
        <w:rPr>
          <w:rFonts w:cs="Arial"/>
          <w:color w:val="auto"/>
          <w:szCs w:val="22"/>
          <w:lang w:val="hr-HR"/>
        </w:rPr>
        <w:t>postrojenja</w:t>
      </w:r>
      <w:r w:rsidR="000A6CDC" w:rsidRPr="000C66F0">
        <w:rPr>
          <w:rFonts w:cs="Arial"/>
          <w:color w:val="auto"/>
          <w:szCs w:val="22"/>
          <w:lang w:val="hr-HR"/>
        </w:rPr>
        <w:t>, turbina, stepenišnih tornjeva, ulaznih i izlaznih struktura, tunela za održavanje, dimnjaka, skladišta za ugljen ili</w:t>
      </w:r>
      <w:r w:rsidR="00947527" w:rsidRPr="000C66F0">
        <w:rPr>
          <w:rFonts w:cs="Arial"/>
          <w:color w:val="auto"/>
          <w:szCs w:val="22"/>
          <w:lang w:val="hr-HR"/>
        </w:rPr>
        <w:t xml:space="preserve"> </w:t>
      </w:r>
      <w:r w:rsidR="00BA29C0" w:rsidRPr="000C66F0">
        <w:rPr>
          <w:rFonts w:cs="Arial"/>
          <w:color w:val="auto"/>
          <w:szCs w:val="22"/>
          <w:lang w:val="hr-HR"/>
        </w:rPr>
        <w:t>k</w:t>
      </w:r>
      <w:r w:rsidR="00947527" w:rsidRPr="000C66F0">
        <w:rPr>
          <w:rFonts w:cs="Arial"/>
          <w:color w:val="auto"/>
          <w:szCs w:val="22"/>
          <w:lang w:val="hr-HR"/>
        </w:rPr>
        <w:t>averne.</w:t>
      </w:r>
    </w:p>
    <w:p w:rsidR="000C66F0" w:rsidRDefault="000C66F0" w:rsidP="00EC23D2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</w:p>
    <w:p w:rsidR="0058455E" w:rsidRPr="000C66F0" w:rsidRDefault="0058455E" w:rsidP="00EC23D2">
      <w:pPr>
        <w:spacing w:line="276" w:lineRule="auto"/>
        <w:jc w:val="both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br/>
      </w:r>
      <w:r w:rsidR="009C2713" w:rsidRPr="000C66F0">
        <w:rPr>
          <w:rFonts w:cs="Arial"/>
          <w:b/>
          <w:color w:val="auto"/>
          <w:szCs w:val="22"/>
          <w:lang w:val="hr-HR"/>
        </w:rPr>
        <w:t>Energično već od samog početka</w:t>
      </w:r>
    </w:p>
    <w:p w:rsidR="009C2713" w:rsidRPr="000C66F0" w:rsidRDefault="009C2713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5E5120" w:rsidRPr="000C66F0" w:rsidRDefault="009C2713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Povijest </w:t>
      </w:r>
      <w:proofErr w:type="spellStart"/>
      <w:r w:rsidRPr="000C66F0">
        <w:rPr>
          <w:rFonts w:cs="Arial"/>
          <w:color w:val="auto"/>
          <w:szCs w:val="22"/>
          <w:lang w:val="hr-HR"/>
        </w:rPr>
        <w:t>Doke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usko je povezana s gradnjom elektrana. Naziv Doka vuče svoje porijeklo u snabdijevanju </w:t>
      </w:r>
      <w:r w:rsidR="00570605" w:rsidRPr="000C66F0">
        <w:rPr>
          <w:rFonts w:cs="Arial"/>
          <w:color w:val="auto"/>
          <w:szCs w:val="22"/>
          <w:lang w:val="hr-HR"/>
        </w:rPr>
        <w:t xml:space="preserve">oplatnim komponentama </w:t>
      </w:r>
      <w:r w:rsidRPr="000C66F0">
        <w:rPr>
          <w:rFonts w:cs="Arial"/>
          <w:color w:val="auto"/>
          <w:szCs w:val="22"/>
          <w:lang w:val="hr-HR"/>
        </w:rPr>
        <w:t xml:space="preserve">austrijskog projekta </w:t>
      </w:r>
      <w:r w:rsidR="00570605" w:rsidRPr="000C66F0">
        <w:rPr>
          <w:rFonts w:cs="Arial"/>
          <w:color w:val="auto"/>
          <w:szCs w:val="22"/>
          <w:lang w:val="hr-HR"/>
        </w:rPr>
        <w:t xml:space="preserve">- </w:t>
      </w:r>
      <w:r w:rsidRPr="000C66F0">
        <w:rPr>
          <w:rFonts w:cs="Arial"/>
          <w:color w:val="auto"/>
          <w:szCs w:val="22"/>
          <w:lang w:val="hr-HR"/>
        </w:rPr>
        <w:t xml:space="preserve">hidroelektrane na Dunavu (DOKW) </w:t>
      </w:r>
      <w:r w:rsidR="00570605" w:rsidRPr="000C66F0">
        <w:rPr>
          <w:rFonts w:cs="Arial"/>
          <w:color w:val="auto"/>
          <w:szCs w:val="22"/>
          <w:lang w:val="hr-HR"/>
        </w:rPr>
        <w:t xml:space="preserve">iz </w:t>
      </w:r>
      <w:r w:rsidRPr="000C66F0">
        <w:rPr>
          <w:rFonts w:cs="Arial"/>
          <w:color w:val="auto"/>
          <w:szCs w:val="22"/>
          <w:lang w:val="hr-HR"/>
        </w:rPr>
        <w:t xml:space="preserve">1950.  </w:t>
      </w:r>
      <w:r w:rsidR="00570605" w:rsidRPr="000C66F0">
        <w:rPr>
          <w:rFonts w:cs="Arial"/>
          <w:color w:val="auto"/>
          <w:szCs w:val="22"/>
          <w:lang w:val="hr-HR"/>
        </w:rPr>
        <w:t xml:space="preserve">To višegodišnje iskustvo na međunarodnim projektima predstavlja značajnu pomoć </w:t>
      </w:r>
      <w:proofErr w:type="spellStart"/>
      <w:r w:rsidR="00570605" w:rsidRPr="000C66F0">
        <w:rPr>
          <w:rFonts w:cs="Arial"/>
          <w:color w:val="auto"/>
          <w:szCs w:val="22"/>
          <w:lang w:val="hr-HR"/>
        </w:rPr>
        <w:t>Dokinim</w:t>
      </w:r>
      <w:proofErr w:type="spellEnd"/>
      <w:r w:rsidR="00570605" w:rsidRPr="000C66F0">
        <w:rPr>
          <w:rFonts w:cs="Arial"/>
          <w:color w:val="auto"/>
          <w:szCs w:val="22"/>
          <w:lang w:val="hr-HR"/>
        </w:rPr>
        <w:t xml:space="preserve"> klijentima u realizaciji njihovih građevin</w:t>
      </w:r>
      <w:r w:rsidR="009D5DB0" w:rsidRPr="000C66F0">
        <w:rPr>
          <w:rFonts w:cs="Arial"/>
          <w:color w:val="auto"/>
          <w:szCs w:val="22"/>
          <w:lang w:val="hr-HR"/>
        </w:rPr>
        <w:t xml:space="preserve">skih </w:t>
      </w:r>
      <w:r w:rsidR="00570605" w:rsidRPr="000C66F0">
        <w:rPr>
          <w:rFonts w:cs="Arial"/>
          <w:color w:val="auto"/>
          <w:szCs w:val="22"/>
          <w:lang w:val="hr-HR"/>
        </w:rPr>
        <w:t>projekata.</w:t>
      </w:r>
      <w:r w:rsidR="009D5DB0" w:rsidRPr="000C66F0">
        <w:rPr>
          <w:rFonts w:cs="Arial"/>
          <w:color w:val="auto"/>
          <w:szCs w:val="22"/>
          <w:lang w:val="hr-HR"/>
        </w:rPr>
        <w:t xml:space="preserve"> </w:t>
      </w:r>
      <w:r w:rsidR="008100B0" w:rsidRPr="000C66F0">
        <w:rPr>
          <w:rFonts w:cs="Arial"/>
          <w:color w:val="auto"/>
          <w:szCs w:val="22"/>
          <w:lang w:val="hr-HR"/>
        </w:rPr>
        <w:t>Doka oplata</w:t>
      </w:r>
      <w:r w:rsidR="0058455E" w:rsidRPr="000C66F0">
        <w:rPr>
          <w:rFonts w:cs="Arial"/>
          <w:color w:val="auto"/>
          <w:szCs w:val="22"/>
          <w:lang w:val="hr-HR"/>
        </w:rPr>
        <w:t xml:space="preserve"> za brane</w:t>
      </w:r>
      <w:r w:rsidR="00570605" w:rsidRPr="000C66F0">
        <w:rPr>
          <w:rFonts w:cs="Arial"/>
          <w:color w:val="auto"/>
          <w:szCs w:val="22"/>
          <w:lang w:val="hr-HR"/>
        </w:rPr>
        <w:t xml:space="preserve"> višekratno</w:t>
      </w:r>
      <w:r w:rsidR="0058455E" w:rsidRPr="000C66F0">
        <w:rPr>
          <w:rFonts w:cs="Arial"/>
          <w:color w:val="auto"/>
          <w:szCs w:val="22"/>
          <w:lang w:val="hr-HR"/>
        </w:rPr>
        <w:t xml:space="preserve"> je isprobana i dokazana u praksi u izgradnji brana</w:t>
      </w:r>
      <w:r w:rsidR="00570605" w:rsidRPr="000C66F0">
        <w:rPr>
          <w:rFonts w:cs="Arial"/>
          <w:color w:val="auto"/>
          <w:szCs w:val="22"/>
          <w:lang w:val="hr-HR"/>
        </w:rPr>
        <w:t xml:space="preserve"> i nasipa</w:t>
      </w:r>
      <w:r w:rsidR="0058455E" w:rsidRPr="000C66F0">
        <w:rPr>
          <w:rFonts w:cs="Arial"/>
          <w:color w:val="auto"/>
          <w:szCs w:val="22"/>
          <w:lang w:val="hr-HR"/>
        </w:rPr>
        <w:t xml:space="preserve"> za hidrocentrale</w:t>
      </w:r>
      <w:r w:rsidR="00570605" w:rsidRPr="000C66F0">
        <w:rPr>
          <w:rFonts w:cs="Arial"/>
          <w:color w:val="auto"/>
          <w:szCs w:val="22"/>
          <w:lang w:val="hr-HR"/>
        </w:rPr>
        <w:t xml:space="preserve">. Ove </w:t>
      </w:r>
      <w:r w:rsidR="0058455E" w:rsidRPr="000C66F0">
        <w:rPr>
          <w:rFonts w:cs="Arial"/>
          <w:color w:val="auto"/>
          <w:szCs w:val="22"/>
          <w:lang w:val="hr-HR"/>
        </w:rPr>
        <w:t>oplatn</w:t>
      </w:r>
      <w:r w:rsidR="00570605" w:rsidRPr="000C66F0">
        <w:rPr>
          <w:rFonts w:cs="Arial"/>
          <w:color w:val="auto"/>
          <w:szCs w:val="22"/>
          <w:lang w:val="hr-HR"/>
        </w:rPr>
        <w:t>e</w:t>
      </w:r>
      <w:r w:rsidR="0058455E" w:rsidRPr="000C66F0">
        <w:rPr>
          <w:rFonts w:cs="Arial"/>
          <w:color w:val="auto"/>
          <w:szCs w:val="22"/>
          <w:lang w:val="hr-HR"/>
        </w:rPr>
        <w:t xml:space="preserve"> sistem</w:t>
      </w:r>
      <w:r w:rsidR="00570605" w:rsidRPr="000C66F0">
        <w:rPr>
          <w:rFonts w:cs="Arial"/>
          <w:color w:val="auto"/>
          <w:szCs w:val="22"/>
          <w:lang w:val="hr-HR"/>
        </w:rPr>
        <w:t>e</w:t>
      </w:r>
      <w:r w:rsidR="008100B0" w:rsidRPr="000C66F0">
        <w:rPr>
          <w:rFonts w:cs="Arial"/>
          <w:color w:val="auto"/>
          <w:szCs w:val="22"/>
          <w:lang w:val="hr-HR"/>
        </w:rPr>
        <w:t xml:space="preserve"> za</w:t>
      </w:r>
      <w:r w:rsidR="0058455E" w:rsidRPr="000C66F0">
        <w:rPr>
          <w:rFonts w:cs="Arial"/>
          <w:color w:val="auto"/>
          <w:szCs w:val="22"/>
          <w:lang w:val="hr-HR"/>
        </w:rPr>
        <w:t xml:space="preserve"> masivne betonske konstrukcije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r w:rsidR="00570605" w:rsidRPr="000C66F0">
        <w:rPr>
          <w:rFonts w:cs="Arial"/>
          <w:color w:val="auto"/>
          <w:szCs w:val="22"/>
          <w:lang w:val="hr-HR"/>
        </w:rPr>
        <w:t>odlikuje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r w:rsidR="00570605" w:rsidRPr="000C66F0">
        <w:rPr>
          <w:rFonts w:cs="Arial"/>
          <w:color w:val="auto"/>
          <w:szCs w:val="22"/>
          <w:lang w:val="hr-HR"/>
        </w:rPr>
        <w:t>fleksibilnost</w:t>
      </w:r>
      <w:r w:rsidR="0058455E" w:rsidRPr="000C66F0">
        <w:rPr>
          <w:rFonts w:cs="Arial"/>
          <w:color w:val="auto"/>
          <w:szCs w:val="22"/>
          <w:lang w:val="hr-HR"/>
        </w:rPr>
        <w:t xml:space="preserve">, </w:t>
      </w:r>
      <w:r w:rsidR="0058455E" w:rsidRPr="000C66F0">
        <w:rPr>
          <w:rFonts w:cs="Arial"/>
          <w:color w:val="auto"/>
          <w:szCs w:val="22"/>
          <w:lang w:val="hr-HR"/>
        </w:rPr>
        <w:lastRenderedPageBreak/>
        <w:t>visok</w:t>
      </w:r>
      <w:r w:rsidR="00307F96" w:rsidRPr="000C66F0">
        <w:rPr>
          <w:rFonts w:cs="Arial"/>
          <w:color w:val="auto"/>
          <w:szCs w:val="22"/>
          <w:lang w:val="hr-HR"/>
        </w:rPr>
        <w:t>a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r w:rsidR="00307F96" w:rsidRPr="000C66F0">
        <w:rPr>
          <w:rFonts w:cs="Arial"/>
          <w:color w:val="auto"/>
          <w:szCs w:val="22"/>
          <w:lang w:val="hr-HR"/>
        </w:rPr>
        <w:t>nosivost</w:t>
      </w:r>
      <w:r w:rsidR="00570605" w:rsidRPr="000C66F0">
        <w:rPr>
          <w:rFonts w:cs="Arial"/>
          <w:color w:val="auto"/>
          <w:szCs w:val="22"/>
          <w:lang w:val="hr-HR"/>
        </w:rPr>
        <w:t xml:space="preserve"> i </w:t>
      </w:r>
      <w:r w:rsidR="00307F96" w:rsidRPr="000C66F0">
        <w:rPr>
          <w:rFonts w:cs="Arial"/>
          <w:color w:val="auto"/>
          <w:szCs w:val="22"/>
          <w:lang w:val="hr-HR"/>
        </w:rPr>
        <w:t>radna sigurnost</w:t>
      </w:r>
      <w:r w:rsidR="0058455E" w:rsidRPr="000C66F0">
        <w:rPr>
          <w:rFonts w:cs="Arial"/>
          <w:color w:val="auto"/>
          <w:szCs w:val="22"/>
          <w:lang w:val="hr-HR"/>
        </w:rPr>
        <w:t>. Nov</w:t>
      </w:r>
      <w:r w:rsidR="00FC68A1" w:rsidRPr="000C66F0">
        <w:rPr>
          <w:rFonts w:cs="Arial"/>
          <w:color w:val="auto"/>
          <w:szCs w:val="22"/>
          <w:lang w:val="hr-HR"/>
        </w:rPr>
        <w:t xml:space="preserve">a </w:t>
      </w:r>
      <w:r w:rsidR="0058455E" w:rsidRPr="000C66F0">
        <w:rPr>
          <w:rFonts w:cs="Arial"/>
          <w:color w:val="auto"/>
          <w:szCs w:val="22"/>
          <w:lang w:val="hr-HR"/>
        </w:rPr>
        <w:t xml:space="preserve"> oplata za brane</w:t>
      </w:r>
      <w:r w:rsidR="008100B0" w:rsidRPr="000C66F0">
        <w:rPr>
          <w:rFonts w:cs="Arial"/>
          <w:color w:val="auto"/>
          <w:szCs w:val="22"/>
          <w:lang w:val="hr-HR"/>
        </w:rPr>
        <w:t xml:space="preserve"> D35 </w:t>
      </w:r>
      <w:r w:rsidR="00FC68A1" w:rsidRPr="000C66F0">
        <w:rPr>
          <w:rFonts w:cs="Arial"/>
          <w:color w:val="auto"/>
          <w:szCs w:val="22"/>
          <w:lang w:val="hr-HR"/>
        </w:rPr>
        <w:t>s</w:t>
      </w:r>
      <w:r w:rsidR="00CF1ED1" w:rsidRPr="000C66F0">
        <w:rPr>
          <w:rFonts w:cs="Arial"/>
          <w:color w:val="auto"/>
          <w:szCs w:val="22"/>
          <w:lang w:val="hr-HR"/>
        </w:rPr>
        <w:t xml:space="preserve"> 350</w:t>
      </w:r>
      <w:r w:rsidR="008100B0" w:rsidRPr="000C66F0">
        <w:rPr>
          <w:rFonts w:cs="Arial"/>
          <w:color w:val="auto"/>
          <w:szCs w:val="22"/>
          <w:lang w:val="hr-HR"/>
        </w:rPr>
        <w:t xml:space="preserve"> kN </w:t>
      </w:r>
      <w:r w:rsidR="00E51C62" w:rsidRPr="000C66F0">
        <w:rPr>
          <w:rFonts w:cs="Arial"/>
          <w:color w:val="auto"/>
          <w:szCs w:val="22"/>
          <w:lang w:val="hr-HR"/>
        </w:rPr>
        <w:t>vlačne</w:t>
      </w:r>
      <w:r w:rsidR="008100B0" w:rsidRPr="000C66F0">
        <w:rPr>
          <w:rFonts w:cs="Arial"/>
          <w:color w:val="auto"/>
          <w:szCs w:val="22"/>
          <w:lang w:val="hr-HR"/>
        </w:rPr>
        <w:t xml:space="preserve"> sile</w:t>
      </w:r>
      <w:r w:rsidR="00FC68A1" w:rsidRPr="000C66F0">
        <w:rPr>
          <w:rFonts w:cs="Arial"/>
          <w:color w:val="auto"/>
          <w:szCs w:val="22"/>
          <w:lang w:val="hr-HR"/>
        </w:rPr>
        <w:t xml:space="preserve"> </w:t>
      </w:r>
      <w:r w:rsidR="00E51C62" w:rsidRPr="000C66F0">
        <w:rPr>
          <w:rFonts w:cs="Arial"/>
          <w:color w:val="auto"/>
          <w:szCs w:val="22"/>
          <w:lang w:val="hr-HR"/>
        </w:rPr>
        <w:t>u sidrima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8100B0" w:rsidRPr="000C66F0">
        <w:rPr>
          <w:rFonts w:cs="Arial"/>
          <w:color w:val="auto"/>
          <w:szCs w:val="22"/>
          <w:lang w:val="hr-HR"/>
        </w:rPr>
        <w:t>omoguc</w:t>
      </w:r>
      <w:proofErr w:type="spellEnd"/>
      <w:r w:rsidR="008100B0" w:rsidRPr="000C66F0">
        <w:rPr>
          <w:rFonts w:cs="Arial"/>
          <w:color w:val="auto"/>
          <w:szCs w:val="22"/>
          <w:lang w:val="hr-HR"/>
        </w:rPr>
        <w:t>́</w:t>
      </w:r>
      <w:r w:rsidR="00FC68A1" w:rsidRPr="000C66F0">
        <w:rPr>
          <w:rFonts w:cs="Arial"/>
          <w:color w:val="auto"/>
          <w:szCs w:val="22"/>
          <w:lang w:val="hr-HR"/>
        </w:rPr>
        <w:t xml:space="preserve">uje </w:t>
      </w:r>
      <w:r w:rsidR="00E258B1" w:rsidRPr="000C66F0">
        <w:rPr>
          <w:rFonts w:cs="Arial"/>
          <w:color w:val="auto"/>
          <w:szCs w:val="22"/>
          <w:lang w:val="hr-HR"/>
        </w:rPr>
        <w:t xml:space="preserve">po </w:t>
      </w:r>
      <w:r w:rsidR="008100B0" w:rsidRPr="000C66F0">
        <w:rPr>
          <w:rFonts w:cs="Arial"/>
          <w:color w:val="auto"/>
          <w:szCs w:val="22"/>
          <w:lang w:val="hr-HR"/>
        </w:rPr>
        <w:t>prvi put</w:t>
      </w:r>
      <w:r w:rsidR="00FC68A1" w:rsidRPr="000C66F0">
        <w:rPr>
          <w:rFonts w:cs="Arial"/>
          <w:color w:val="auto"/>
          <w:szCs w:val="22"/>
          <w:lang w:val="hr-HR"/>
        </w:rPr>
        <w:t>a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FC68A1" w:rsidRPr="000C66F0">
        <w:rPr>
          <w:rFonts w:cs="Arial"/>
          <w:color w:val="auto"/>
          <w:szCs w:val="22"/>
          <w:lang w:val="hr-HR"/>
        </w:rPr>
        <w:t>oplaćivanje</w:t>
      </w:r>
      <w:proofErr w:type="spellEnd"/>
      <w:r w:rsidR="00FC68A1" w:rsidRPr="000C66F0">
        <w:rPr>
          <w:rFonts w:cs="Arial"/>
          <w:color w:val="auto"/>
          <w:szCs w:val="22"/>
          <w:lang w:val="hr-HR"/>
        </w:rPr>
        <w:t xml:space="preserve"> blokova</w:t>
      </w:r>
      <w:r w:rsidR="008100B0" w:rsidRPr="000C66F0">
        <w:rPr>
          <w:rFonts w:cs="Arial"/>
          <w:color w:val="auto"/>
          <w:szCs w:val="22"/>
          <w:lang w:val="hr-HR"/>
        </w:rPr>
        <w:t xml:space="preserve"> </w:t>
      </w:r>
      <w:r w:rsidR="005E5120" w:rsidRPr="000C66F0">
        <w:rPr>
          <w:rFonts w:cs="Arial"/>
          <w:color w:val="auto"/>
          <w:szCs w:val="22"/>
          <w:lang w:val="hr-HR"/>
        </w:rPr>
        <w:t>visine i do</w:t>
      </w:r>
      <w:r w:rsidR="008100B0" w:rsidRPr="000C66F0">
        <w:rPr>
          <w:rFonts w:cs="Arial"/>
          <w:color w:val="auto"/>
          <w:szCs w:val="22"/>
          <w:lang w:val="hr-HR"/>
        </w:rPr>
        <w:t xml:space="preserve"> 5 m</w:t>
      </w:r>
      <w:r w:rsidR="005E5120" w:rsidRPr="000C66F0">
        <w:rPr>
          <w:rFonts w:cs="Arial"/>
          <w:color w:val="auto"/>
          <w:szCs w:val="22"/>
          <w:lang w:val="hr-HR"/>
        </w:rPr>
        <w:t>.</w:t>
      </w:r>
    </w:p>
    <w:p w:rsidR="00FC68A1" w:rsidRPr="000C66F0" w:rsidRDefault="008100B0" w:rsidP="00EC23D2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br/>
      </w:r>
      <w:r w:rsidR="005E5120" w:rsidRPr="000C66F0">
        <w:rPr>
          <w:rFonts w:cs="Arial"/>
          <w:color w:val="auto"/>
          <w:szCs w:val="22"/>
          <w:lang w:val="hr-HR"/>
        </w:rPr>
        <w:t xml:space="preserve">Doka </w:t>
      </w:r>
      <w:r w:rsidR="00FC68A1" w:rsidRPr="000C66F0">
        <w:rPr>
          <w:rFonts w:cs="Arial"/>
          <w:color w:val="auto"/>
          <w:szCs w:val="22"/>
          <w:lang w:val="hr-HR"/>
        </w:rPr>
        <w:t>sustavi koriste se</w:t>
      </w:r>
      <w:r w:rsidR="005E5120" w:rsidRPr="000C66F0">
        <w:rPr>
          <w:rFonts w:cs="Arial"/>
          <w:color w:val="auto"/>
          <w:szCs w:val="22"/>
          <w:lang w:val="hr-HR"/>
        </w:rPr>
        <w:t xml:space="preserve"> i </w:t>
      </w:r>
      <w:r w:rsidR="005B7956" w:rsidRPr="000C66F0">
        <w:rPr>
          <w:rFonts w:cs="Arial"/>
          <w:color w:val="auto"/>
          <w:szCs w:val="22"/>
          <w:lang w:val="hr-HR"/>
        </w:rPr>
        <w:t>kod izgradnje</w:t>
      </w:r>
      <w:r w:rsidR="005E5120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5E5120" w:rsidRPr="000C66F0">
        <w:rPr>
          <w:rFonts w:cs="Arial"/>
          <w:color w:val="auto"/>
          <w:szCs w:val="22"/>
          <w:lang w:val="hr-HR"/>
        </w:rPr>
        <w:t>v</w:t>
      </w:r>
      <w:r w:rsidR="00FC68A1" w:rsidRPr="000C66F0">
        <w:rPr>
          <w:rFonts w:cs="Arial"/>
          <w:color w:val="auto"/>
          <w:szCs w:val="22"/>
          <w:lang w:val="hr-HR"/>
        </w:rPr>
        <w:t>j</w:t>
      </w:r>
      <w:r w:rsidR="005E5120" w:rsidRPr="000C66F0">
        <w:rPr>
          <w:rFonts w:cs="Arial"/>
          <w:color w:val="auto"/>
          <w:szCs w:val="22"/>
          <w:lang w:val="hr-HR"/>
        </w:rPr>
        <w:t>etroturbina</w:t>
      </w:r>
      <w:proofErr w:type="spellEnd"/>
      <w:r w:rsidR="005E5120" w:rsidRPr="000C66F0">
        <w:rPr>
          <w:rFonts w:cs="Arial"/>
          <w:color w:val="auto"/>
          <w:szCs w:val="22"/>
          <w:lang w:val="hr-HR"/>
        </w:rPr>
        <w:t>, kako za temelje, tako i za tornjeve.</w:t>
      </w:r>
      <w:r w:rsidR="00E258B1" w:rsidRPr="000C66F0">
        <w:rPr>
          <w:rFonts w:cs="Arial"/>
          <w:color w:val="auto"/>
          <w:szCs w:val="22"/>
          <w:lang w:val="hr-HR"/>
        </w:rPr>
        <w:t xml:space="preserve"> Fleksibiln</w:t>
      </w:r>
      <w:r w:rsidR="00FC68A1" w:rsidRPr="000C66F0">
        <w:rPr>
          <w:rFonts w:cs="Arial"/>
          <w:color w:val="auto"/>
          <w:szCs w:val="22"/>
          <w:lang w:val="hr-HR"/>
        </w:rPr>
        <w:t xml:space="preserve">a i </w:t>
      </w:r>
      <w:r w:rsidR="00E258B1" w:rsidRPr="000C66F0">
        <w:rPr>
          <w:rFonts w:cs="Arial"/>
          <w:color w:val="auto"/>
          <w:szCs w:val="22"/>
          <w:lang w:val="hr-HR"/>
        </w:rPr>
        <w:t xml:space="preserve"> prilagođena</w:t>
      </w:r>
      <w:r w:rsidRPr="000C66F0">
        <w:rPr>
          <w:rFonts w:cs="Arial"/>
          <w:color w:val="auto"/>
          <w:szCs w:val="22"/>
          <w:lang w:val="hr-HR"/>
        </w:rPr>
        <w:t xml:space="preserve"> oplata </w:t>
      </w:r>
      <w:r w:rsidR="00E258B1" w:rsidRPr="000C66F0">
        <w:rPr>
          <w:rFonts w:cs="Arial"/>
          <w:color w:val="auto"/>
          <w:szCs w:val="22"/>
          <w:lang w:val="hr-HR"/>
        </w:rPr>
        <w:t xml:space="preserve">napravljena od čelika </w:t>
      </w:r>
      <w:r w:rsidR="00FC68A1" w:rsidRPr="000C66F0">
        <w:rPr>
          <w:rFonts w:cs="Arial"/>
          <w:color w:val="auto"/>
          <w:szCs w:val="22"/>
          <w:lang w:val="hr-HR"/>
        </w:rPr>
        <w:t>osigurava</w:t>
      </w:r>
      <w:r w:rsidR="00E258B1" w:rsidRPr="000C66F0">
        <w:rPr>
          <w:rFonts w:cs="Arial"/>
          <w:color w:val="auto"/>
          <w:szCs w:val="22"/>
          <w:lang w:val="hr-HR"/>
        </w:rPr>
        <w:t xml:space="preserve"> da</w:t>
      </w:r>
      <w:r w:rsidR="00FC68A1" w:rsidRPr="000C66F0">
        <w:rPr>
          <w:rFonts w:cs="Arial"/>
          <w:color w:val="auto"/>
          <w:szCs w:val="22"/>
          <w:lang w:val="hr-HR"/>
        </w:rPr>
        <w:t xml:space="preserve"> se</w:t>
      </w:r>
      <w:r w:rsidR="00E258B1" w:rsidRPr="000C66F0">
        <w:rPr>
          <w:rFonts w:cs="Arial"/>
          <w:color w:val="auto"/>
          <w:szCs w:val="22"/>
          <w:lang w:val="hr-HR"/>
        </w:rPr>
        <w:t xml:space="preserve"> taktovi</w:t>
      </w:r>
      <w:r w:rsidRPr="000C66F0">
        <w:rPr>
          <w:rFonts w:cs="Arial"/>
          <w:color w:val="auto"/>
          <w:szCs w:val="22"/>
          <w:lang w:val="hr-HR"/>
        </w:rPr>
        <w:t xml:space="preserve"> </w:t>
      </w:r>
      <w:r w:rsidR="00E258B1" w:rsidRPr="000C66F0">
        <w:rPr>
          <w:rFonts w:cs="Arial"/>
          <w:color w:val="auto"/>
          <w:szCs w:val="22"/>
          <w:lang w:val="hr-HR"/>
        </w:rPr>
        <w:t>betoniranja od 4 m visine mogu</w:t>
      </w:r>
      <w:r w:rsidRPr="000C66F0">
        <w:rPr>
          <w:rFonts w:cs="Arial"/>
          <w:color w:val="auto"/>
          <w:szCs w:val="22"/>
          <w:lang w:val="hr-HR"/>
        </w:rPr>
        <w:t xml:space="preserve"> pouzdano i </w:t>
      </w:r>
      <w:r w:rsidR="00FC68A1" w:rsidRPr="000C66F0">
        <w:rPr>
          <w:rFonts w:cs="Arial"/>
          <w:color w:val="auto"/>
          <w:szCs w:val="22"/>
          <w:lang w:val="hr-HR"/>
        </w:rPr>
        <w:t>sigurno</w:t>
      </w:r>
      <w:r w:rsidR="00E258B1" w:rsidRPr="000C66F0">
        <w:rPr>
          <w:rFonts w:cs="Arial"/>
          <w:color w:val="auto"/>
          <w:szCs w:val="22"/>
          <w:lang w:val="hr-HR"/>
        </w:rPr>
        <w:t xml:space="preserve"> izvoditi</w:t>
      </w:r>
      <w:r w:rsidRPr="000C66F0">
        <w:rPr>
          <w:rFonts w:cs="Arial"/>
          <w:color w:val="auto"/>
          <w:szCs w:val="22"/>
          <w:lang w:val="hr-HR"/>
        </w:rPr>
        <w:t xml:space="preserve"> u dnevnom ciklusu.</w:t>
      </w:r>
    </w:p>
    <w:p w:rsidR="005D6537" w:rsidRPr="000C66F0" w:rsidRDefault="008100B0" w:rsidP="00EC23D2">
      <w:pPr>
        <w:spacing w:line="276" w:lineRule="auto"/>
        <w:jc w:val="both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br/>
      </w:r>
      <w:r w:rsidRPr="000C66F0">
        <w:rPr>
          <w:rFonts w:cs="Arial"/>
          <w:color w:val="auto"/>
          <w:szCs w:val="22"/>
          <w:lang w:val="hr-HR"/>
        </w:rPr>
        <w:br/>
      </w:r>
      <w:r w:rsidR="004966D4" w:rsidRPr="000C66F0">
        <w:rPr>
          <w:rFonts w:cs="Arial"/>
          <w:b/>
          <w:color w:val="auto"/>
          <w:szCs w:val="22"/>
          <w:lang w:val="hr-HR"/>
        </w:rPr>
        <w:t>R</w:t>
      </w:r>
      <w:r w:rsidR="00FC68A1" w:rsidRPr="000C66F0">
        <w:rPr>
          <w:rFonts w:cs="Arial"/>
          <w:b/>
          <w:color w:val="auto"/>
          <w:szCs w:val="22"/>
          <w:lang w:val="hr-HR"/>
        </w:rPr>
        <w:t>j</w:t>
      </w:r>
      <w:r w:rsidR="004966D4" w:rsidRPr="000C66F0">
        <w:rPr>
          <w:rFonts w:cs="Arial"/>
          <w:b/>
          <w:color w:val="auto"/>
          <w:szCs w:val="22"/>
          <w:lang w:val="hr-HR"/>
        </w:rPr>
        <w:t xml:space="preserve">ešenja za </w:t>
      </w:r>
      <w:r w:rsidR="00FC68A1" w:rsidRPr="000C66F0">
        <w:rPr>
          <w:rFonts w:cs="Arial"/>
          <w:b/>
          <w:color w:val="auto"/>
          <w:szCs w:val="22"/>
          <w:lang w:val="hr-HR"/>
        </w:rPr>
        <w:t>rezervoare</w:t>
      </w:r>
      <w:r w:rsidR="004966D4" w:rsidRPr="000C66F0">
        <w:rPr>
          <w:rFonts w:cs="Arial"/>
          <w:b/>
          <w:color w:val="auto"/>
          <w:szCs w:val="22"/>
          <w:lang w:val="hr-HR"/>
        </w:rPr>
        <w:t xml:space="preserve"> i silose</w:t>
      </w:r>
    </w:p>
    <w:p w:rsidR="005D6537" w:rsidRPr="000C66F0" w:rsidRDefault="005D6537" w:rsidP="00EC23D2">
      <w:pPr>
        <w:spacing w:line="276" w:lineRule="auto"/>
        <w:jc w:val="both"/>
        <w:rPr>
          <w:rFonts w:cs="Arial"/>
          <w:b/>
          <w:color w:val="auto"/>
          <w:szCs w:val="22"/>
          <w:lang w:val="hr-HR"/>
        </w:rPr>
      </w:pPr>
    </w:p>
    <w:p w:rsidR="000C66F0" w:rsidRDefault="00F87D38" w:rsidP="000C66F0">
      <w:pPr>
        <w:spacing w:line="276" w:lineRule="auto"/>
        <w:jc w:val="both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>Skladišne objekte, kao što</w:t>
      </w:r>
      <w:r w:rsidR="005D6537" w:rsidRPr="000C66F0">
        <w:rPr>
          <w:rFonts w:cs="Arial"/>
          <w:color w:val="auto"/>
          <w:szCs w:val="22"/>
          <w:lang w:val="hr-HR"/>
        </w:rPr>
        <w:t xml:space="preserve"> su rezervoari i silosi za naftne i plinske elektrane (LNG </w:t>
      </w:r>
      <w:proofErr w:type="spellStart"/>
      <w:r w:rsidR="005D6537" w:rsidRPr="000C66F0">
        <w:rPr>
          <w:rFonts w:cs="Arial"/>
          <w:color w:val="auto"/>
          <w:szCs w:val="22"/>
          <w:lang w:val="hr-HR"/>
        </w:rPr>
        <w:t>tanks</w:t>
      </w:r>
      <w:proofErr w:type="spellEnd"/>
      <w:r w:rsidR="005D6537" w:rsidRPr="000C66F0">
        <w:rPr>
          <w:rFonts w:cs="Arial"/>
          <w:color w:val="auto"/>
          <w:szCs w:val="22"/>
          <w:lang w:val="hr-HR"/>
        </w:rPr>
        <w:t xml:space="preserve">) karakterizira </w:t>
      </w:r>
      <w:r w:rsidRPr="000C66F0">
        <w:rPr>
          <w:rFonts w:cs="Arial"/>
          <w:color w:val="auto"/>
          <w:szCs w:val="22"/>
          <w:lang w:val="hr-HR"/>
        </w:rPr>
        <w:t xml:space="preserve">kompleksna metodologija izgradnje. Tehnologija </w:t>
      </w:r>
      <w:proofErr w:type="spellStart"/>
      <w:r w:rsidRPr="000C66F0">
        <w:rPr>
          <w:rFonts w:cs="Arial"/>
          <w:color w:val="auto"/>
          <w:szCs w:val="22"/>
          <w:lang w:val="hr-HR"/>
        </w:rPr>
        <w:t>prednaprezanja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i sidrenja, širina platformi te njihova visoka nosivost i kapacitet sidrenja, predstavljaju poseban izazov u pogledu oplatne tehnologije. </w:t>
      </w:r>
      <w:proofErr w:type="spellStart"/>
      <w:r w:rsidRPr="000C66F0">
        <w:rPr>
          <w:rFonts w:cs="Arial"/>
          <w:color w:val="auto"/>
          <w:szCs w:val="22"/>
          <w:lang w:val="hr-HR"/>
        </w:rPr>
        <w:t>Penjajuća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oplata MF240 ili 150F podizana </w:t>
      </w:r>
      <w:r w:rsidR="00E66287" w:rsidRPr="000C66F0">
        <w:rPr>
          <w:rFonts w:cs="Arial"/>
          <w:color w:val="auto"/>
          <w:szCs w:val="22"/>
          <w:lang w:val="hr-HR"/>
        </w:rPr>
        <w:t>kranom</w:t>
      </w:r>
      <w:r w:rsidRPr="000C66F0">
        <w:rPr>
          <w:rFonts w:cs="Arial"/>
          <w:color w:val="auto"/>
          <w:szCs w:val="22"/>
          <w:lang w:val="hr-HR"/>
        </w:rPr>
        <w:t xml:space="preserve"> omogućuje sistematsko </w:t>
      </w:r>
      <w:proofErr w:type="spellStart"/>
      <w:r w:rsidRPr="000C66F0">
        <w:rPr>
          <w:rFonts w:cs="Arial"/>
          <w:color w:val="auto"/>
          <w:szCs w:val="22"/>
          <w:lang w:val="hr-HR"/>
        </w:rPr>
        <w:t>oplaćivanje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kao i brzo napredovanje gradnje </w:t>
      </w:r>
      <w:r w:rsidR="00385FA2" w:rsidRPr="000C66F0">
        <w:rPr>
          <w:rFonts w:cs="Arial"/>
          <w:color w:val="auto"/>
          <w:szCs w:val="22"/>
          <w:lang w:val="hr-HR"/>
        </w:rPr>
        <w:t xml:space="preserve">kod </w:t>
      </w:r>
      <w:r w:rsidRPr="000C66F0">
        <w:rPr>
          <w:rFonts w:cs="Arial"/>
          <w:color w:val="auto"/>
          <w:szCs w:val="22"/>
          <w:lang w:val="hr-HR"/>
        </w:rPr>
        <w:t xml:space="preserve">rezervoara velikog kapaciteta, objekata za </w:t>
      </w:r>
      <w:r w:rsidR="000F4035" w:rsidRPr="000C66F0">
        <w:rPr>
          <w:rFonts w:cs="Arial"/>
          <w:color w:val="auto"/>
          <w:szCs w:val="22"/>
          <w:lang w:val="hr-HR"/>
        </w:rPr>
        <w:t xml:space="preserve">postrojenja i mašine </w:t>
      </w:r>
      <w:r w:rsidR="00385FA2" w:rsidRPr="000C66F0">
        <w:rPr>
          <w:rFonts w:cs="Arial"/>
          <w:color w:val="auto"/>
          <w:szCs w:val="22"/>
          <w:lang w:val="hr-HR"/>
        </w:rPr>
        <w:t>te stepenišnih tornjeva.</w:t>
      </w:r>
      <w:r w:rsidR="00E66287" w:rsidRPr="000C66F0">
        <w:rPr>
          <w:rFonts w:cs="Arial"/>
          <w:color w:val="auto"/>
          <w:szCs w:val="22"/>
          <w:lang w:val="hr-HR"/>
        </w:rPr>
        <w:t xml:space="preserve"> Sistem je vrlo jednostavan za rukovanje. Oplata i </w:t>
      </w:r>
      <w:proofErr w:type="spellStart"/>
      <w:r w:rsidR="00E66287" w:rsidRPr="000C66F0">
        <w:rPr>
          <w:rFonts w:cs="Arial"/>
          <w:color w:val="auto"/>
          <w:szCs w:val="22"/>
          <w:lang w:val="hr-HR"/>
        </w:rPr>
        <w:t>penjajuće</w:t>
      </w:r>
      <w:proofErr w:type="spellEnd"/>
      <w:r w:rsidR="00E66287" w:rsidRPr="000C66F0">
        <w:rPr>
          <w:rFonts w:cs="Arial"/>
          <w:color w:val="auto"/>
          <w:szCs w:val="22"/>
          <w:lang w:val="hr-HR"/>
        </w:rPr>
        <w:t xml:space="preserve"> jedinice se jednostavno i brzo podižu kranom. Osim toga, Doka nudi dodatne sisteme za izgradnju rezervoara i silosa, kao što su </w:t>
      </w:r>
      <w:proofErr w:type="spellStart"/>
      <w:r w:rsidR="00E66287" w:rsidRPr="000C66F0">
        <w:rPr>
          <w:rFonts w:cs="Arial"/>
          <w:color w:val="auto"/>
          <w:szCs w:val="22"/>
          <w:lang w:val="hr-HR"/>
        </w:rPr>
        <w:t>samopenjajuća</w:t>
      </w:r>
      <w:proofErr w:type="spellEnd"/>
      <w:r w:rsidR="00E66287" w:rsidRPr="000C66F0">
        <w:rPr>
          <w:rFonts w:cs="Arial"/>
          <w:color w:val="auto"/>
          <w:szCs w:val="22"/>
          <w:lang w:val="hr-HR"/>
        </w:rPr>
        <w:t xml:space="preserve"> oplata te oplata za brane. Sigurnost ima najviši prioritet u svim rješenjima</w:t>
      </w:r>
      <w:r w:rsidR="00E51C62" w:rsidRPr="000C66F0">
        <w:rPr>
          <w:rFonts w:cs="Arial"/>
          <w:color w:val="auto"/>
          <w:szCs w:val="22"/>
          <w:lang w:val="hr-HR"/>
        </w:rPr>
        <w:tab/>
      </w:r>
      <w:r w:rsidR="00E66287" w:rsidRPr="000C66F0">
        <w:rPr>
          <w:rFonts w:cs="Arial"/>
          <w:color w:val="auto"/>
          <w:szCs w:val="22"/>
          <w:lang w:val="hr-HR"/>
        </w:rPr>
        <w:t>.</w:t>
      </w:r>
      <w:r w:rsidR="008100B0" w:rsidRPr="000C66F0">
        <w:rPr>
          <w:rFonts w:cs="Arial"/>
          <w:b/>
          <w:color w:val="auto"/>
          <w:szCs w:val="22"/>
          <w:lang w:val="hr-HR"/>
        </w:rPr>
        <w:br/>
      </w:r>
    </w:p>
    <w:p w:rsidR="004D793D" w:rsidRPr="000C66F0" w:rsidRDefault="008100B0" w:rsidP="000C66F0">
      <w:pPr>
        <w:spacing w:line="276" w:lineRule="auto"/>
        <w:jc w:val="both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br/>
      </w:r>
      <w:r w:rsidR="00365DBB" w:rsidRPr="000C66F0">
        <w:rPr>
          <w:rFonts w:cs="Arial"/>
          <w:b/>
          <w:color w:val="auto"/>
          <w:szCs w:val="22"/>
          <w:lang w:val="hr-HR"/>
        </w:rPr>
        <w:t xml:space="preserve">Brzo i precizno </w:t>
      </w:r>
      <w:proofErr w:type="spellStart"/>
      <w:r w:rsidR="00365DBB" w:rsidRPr="000C66F0">
        <w:rPr>
          <w:rFonts w:cs="Arial"/>
          <w:b/>
          <w:color w:val="auto"/>
          <w:szCs w:val="22"/>
          <w:lang w:val="hr-HR"/>
        </w:rPr>
        <w:t>oplaćivanje</w:t>
      </w:r>
      <w:proofErr w:type="spellEnd"/>
      <w:r w:rsidR="00365DBB" w:rsidRPr="000C66F0">
        <w:rPr>
          <w:rFonts w:cs="Arial"/>
          <w:b/>
          <w:color w:val="auto"/>
          <w:szCs w:val="22"/>
          <w:lang w:val="hr-HR"/>
        </w:rPr>
        <w:t xml:space="preserve"> rashladnih tornjeva</w:t>
      </w:r>
    </w:p>
    <w:p w:rsidR="008930A4" w:rsidRPr="000C66F0" w:rsidRDefault="008930A4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</w:p>
    <w:p w:rsidR="00365DBB" w:rsidRPr="000C66F0" w:rsidRDefault="007741F3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Pri </w:t>
      </w:r>
      <w:r w:rsidR="008930A4" w:rsidRPr="000C66F0">
        <w:rPr>
          <w:rFonts w:cs="Arial"/>
          <w:color w:val="auto"/>
          <w:szCs w:val="22"/>
          <w:lang w:val="hr-HR"/>
        </w:rPr>
        <w:t xml:space="preserve">gradnji rashladnih tornjeva za elektrane na ugljen ili plin, za brzo napredovanje gradnje od ključnog je značaja kombinacija detaljnog planiranja oplate i planiranje procesa izgradnje uz primjenu </w:t>
      </w:r>
      <w:proofErr w:type="spellStart"/>
      <w:r w:rsidR="008930A4" w:rsidRPr="000C66F0">
        <w:rPr>
          <w:rFonts w:cs="Arial"/>
          <w:color w:val="auto"/>
          <w:szCs w:val="22"/>
          <w:lang w:val="hr-HR"/>
        </w:rPr>
        <w:t>velikoplošnih</w:t>
      </w:r>
      <w:proofErr w:type="spellEnd"/>
      <w:r w:rsidR="008930A4" w:rsidRPr="000C66F0">
        <w:rPr>
          <w:rFonts w:cs="Arial"/>
          <w:color w:val="auto"/>
          <w:szCs w:val="22"/>
          <w:lang w:val="hr-HR"/>
        </w:rPr>
        <w:t xml:space="preserve"> oplata.</w:t>
      </w:r>
      <w:r w:rsidR="00C8137A" w:rsidRPr="000C66F0">
        <w:rPr>
          <w:rFonts w:cs="Arial"/>
          <w:color w:val="auto"/>
          <w:szCs w:val="22"/>
          <w:lang w:val="hr-HR"/>
        </w:rPr>
        <w:t xml:space="preserve"> Oplata za rashladne tornjeve SK175 potpuno je automatizirani, </w:t>
      </w:r>
      <w:proofErr w:type="spellStart"/>
      <w:r w:rsidR="00C8137A" w:rsidRPr="000C66F0">
        <w:rPr>
          <w:rFonts w:cs="Arial"/>
          <w:color w:val="auto"/>
          <w:szCs w:val="22"/>
          <w:lang w:val="hr-HR"/>
        </w:rPr>
        <w:t>samopenjajući</w:t>
      </w:r>
      <w:proofErr w:type="spellEnd"/>
      <w:r w:rsidR="00C8137A" w:rsidRPr="000C66F0">
        <w:rPr>
          <w:rFonts w:cs="Arial"/>
          <w:color w:val="auto"/>
          <w:szCs w:val="22"/>
          <w:lang w:val="hr-HR"/>
        </w:rPr>
        <w:t xml:space="preserve"> sistem za betoniranje sekcija visine 1,50 m. Ovo rješenje omogućuje precizno betoniranje s izuzetno kratkim ciklusima.</w:t>
      </w:r>
      <w:r w:rsidR="00895F8F" w:rsidRPr="000C66F0">
        <w:rPr>
          <w:rFonts w:cs="Arial"/>
          <w:color w:val="auto"/>
          <w:szCs w:val="22"/>
          <w:lang w:val="hr-HR"/>
        </w:rPr>
        <w:t xml:space="preserve"> Tvrtka Doka nudi i dodatne oplatne </w:t>
      </w:r>
      <w:r w:rsidRPr="000C66F0">
        <w:rPr>
          <w:rFonts w:cs="Arial"/>
          <w:color w:val="auto"/>
          <w:szCs w:val="22"/>
          <w:lang w:val="hr-HR"/>
        </w:rPr>
        <w:t>sustave</w:t>
      </w:r>
      <w:r w:rsidR="00895F8F" w:rsidRPr="000C66F0">
        <w:rPr>
          <w:rFonts w:cs="Arial"/>
          <w:color w:val="auto"/>
          <w:szCs w:val="22"/>
          <w:lang w:val="hr-HR"/>
        </w:rPr>
        <w:t xml:space="preserve"> za izgradnju rashladnih tornjeva kao što je automatska </w:t>
      </w:r>
      <w:proofErr w:type="spellStart"/>
      <w:r w:rsidR="00895F8F" w:rsidRPr="000C66F0">
        <w:rPr>
          <w:rFonts w:cs="Arial"/>
          <w:color w:val="auto"/>
          <w:szCs w:val="22"/>
          <w:lang w:val="hr-HR"/>
        </w:rPr>
        <w:t>penjajuća</w:t>
      </w:r>
      <w:proofErr w:type="spellEnd"/>
      <w:r w:rsidR="00895F8F" w:rsidRPr="000C66F0">
        <w:rPr>
          <w:rFonts w:cs="Arial"/>
          <w:color w:val="auto"/>
          <w:szCs w:val="22"/>
          <w:lang w:val="hr-HR"/>
        </w:rPr>
        <w:t xml:space="preserve"> oplata SKE50 plus.</w:t>
      </w:r>
    </w:p>
    <w:p w:rsidR="00895F8F" w:rsidRPr="000C66F0" w:rsidRDefault="00895F8F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895F8F" w:rsidRPr="000C66F0" w:rsidRDefault="00895F8F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Svaki projekt postavlja specifične zahtjeve u pogledu oplatne tehnologije, a tvrtka Doka je zahvaljujući primjeni modularnih i višestruko primjenjivih sistema spremna ispuniti i najzahtjevnije, na učinkovit i siguran način. Stoga stručnjaci razvijaju i optimalna rješenja za teške turbinske stolove, </w:t>
      </w:r>
      <w:proofErr w:type="spellStart"/>
      <w:r w:rsidRPr="000C66F0">
        <w:rPr>
          <w:rFonts w:cs="Arial"/>
          <w:color w:val="auto"/>
          <w:szCs w:val="22"/>
          <w:lang w:val="hr-HR"/>
        </w:rPr>
        <w:t>mašinska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i energetska postrojenja kao i masivne ploče. Takvi projekti zahtijevaju primjenu</w:t>
      </w:r>
      <w:r w:rsidR="007741F3" w:rsidRPr="000C66F0">
        <w:rPr>
          <w:rFonts w:cs="Arial"/>
          <w:color w:val="auto"/>
          <w:szCs w:val="22"/>
          <w:lang w:val="hr-HR"/>
        </w:rPr>
        <w:t xml:space="preserve"> jednostranih oplata za zidove visine do 12,8 m kao i učinkovitih </w:t>
      </w:r>
      <w:proofErr w:type="spellStart"/>
      <w:r w:rsidR="007741F3" w:rsidRPr="000C66F0">
        <w:rPr>
          <w:rFonts w:cs="Arial"/>
          <w:color w:val="auto"/>
          <w:szCs w:val="22"/>
          <w:lang w:val="hr-HR"/>
        </w:rPr>
        <w:t>Dokinih</w:t>
      </w:r>
      <w:proofErr w:type="spellEnd"/>
      <w:r w:rsidR="007741F3" w:rsidRPr="000C66F0">
        <w:rPr>
          <w:rFonts w:cs="Arial"/>
          <w:color w:val="auto"/>
          <w:szCs w:val="22"/>
          <w:lang w:val="hr-HR"/>
        </w:rPr>
        <w:t xml:space="preserve"> sustava za podupiranje. Nosiva skela </w:t>
      </w:r>
      <w:proofErr w:type="spellStart"/>
      <w:r w:rsidR="007741F3" w:rsidRPr="000C66F0">
        <w:rPr>
          <w:rFonts w:cs="Arial"/>
          <w:color w:val="auto"/>
          <w:szCs w:val="22"/>
          <w:lang w:val="hr-HR"/>
        </w:rPr>
        <w:t>Staxo</w:t>
      </w:r>
      <w:proofErr w:type="spellEnd"/>
      <w:r w:rsidR="007741F3" w:rsidRPr="000C66F0">
        <w:rPr>
          <w:rFonts w:cs="Arial"/>
          <w:color w:val="auto"/>
          <w:szCs w:val="22"/>
          <w:lang w:val="hr-HR"/>
        </w:rPr>
        <w:t xml:space="preserve"> 100 i </w:t>
      </w:r>
      <w:proofErr w:type="spellStart"/>
      <w:r w:rsidR="007741F3" w:rsidRPr="000C66F0">
        <w:rPr>
          <w:rFonts w:cs="Arial"/>
          <w:color w:val="auto"/>
          <w:szCs w:val="22"/>
          <w:lang w:val="hr-HR"/>
        </w:rPr>
        <w:t>Staxo</w:t>
      </w:r>
      <w:proofErr w:type="spellEnd"/>
      <w:r w:rsidR="007741F3" w:rsidRPr="000C66F0">
        <w:rPr>
          <w:rFonts w:cs="Arial"/>
          <w:color w:val="auto"/>
          <w:szCs w:val="22"/>
          <w:lang w:val="hr-HR"/>
        </w:rPr>
        <w:t xml:space="preserve"> 40 zahvaljujući visokoj nosivosti i različitim razmacima okvira optimalno udovoljavaju različitim tlocrtima.</w:t>
      </w:r>
    </w:p>
    <w:p w:rsidR="00365DBB" w:rsidRDefault="00365DBB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0C66F0" w:rsidRPr="000C66F0" w:rsidRDefault="000C66F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CE6D19" w:rsidRPr="000C66F0" w:rsidRDefault="00860D8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b/>
          <w:color w:val="auto"/>
          <w:szCs w:val="22"/>
          <w:lang w:val="hr-HR"/>
        </w:rPr>
        <w:t xml:space="preserve">Glavni fokus na energiju i </w:t>
      </w:r>
      <w:proofErr w:type="spellStart"/>
      <w:r w:rsidRPr="000C66F0">
        <w:rPr>
          <w:rFonts w:cs="Arial"/>
          <w:b/>
          <w:color w:val="auto"/>
          <w:szCs w:val="22"/>
          <w:lang w:val="hr-HR"/>
        </w:rPr>
        <w:t>know</w:t>
      </w:r>
      <w:proofErr w:type="spellEnd"/>
      <w:r w:rsidRPr="000C66F0">
        <w:rPr>
          <w:rFonts w:cs="Arial"/>
          <w:b/>
          <w:color w:val="auto"/>
          <w:szCs w:val="22"/>
          <w:lang w:val="hr-HR"/>
        </w:rPr>
        <w:t>-how</w:t>
      </w:r>
    </w:p>
    <w:p w:rsidR="007741F3" w:rsidRPr="000C66F0" w:rsidRDefault="007741F3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</w:p>
    <w:p w:rsidR="007741F3" w:rsidRPr="000C66F0" w:rsidRDefault="007741F3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 xml:space="preserve">S više od 160 prodajnih i logistički sjedišta u preko 70 zemalja svijeta, tvrtka </w:t>
      </w:r>
      <w:proofErr w:type="spellStart"/>
      <w:r w:rsidRPr="000C66F0">
        <w:rPr>
          <w:rFonts w:cs="Arial"/>
          <w:color w:val="auto"/>
          <w:szCs w:val="22"/>
          <w:lang w:val="hr-HR"/>
        </w:rPr>
        <w:t>tvrtka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 Doka opskrbljuje građevinske tvrtke diljem svijeta potrebnim oplatnim sustavima kao i širokom paletom usluga tijekom čitavog procesa izgradnje. Klijenti</w:t>
      </w:r>
      <w:r w:rsidR="005900C1" w:rsidRPr="000C66F0">
        <w:rPr>
          <w:rFonts w:cs="Arial"/>
          <w:color w:val="auto"/>
          <w:szCs w:val="22"/>
          <w:lang w:val="hr-HR"/>
        </w:rPr>
        <w:t>ma</w:t>
      </w:r>
      <w:r w:rsidRPr="000C66F0">
        <w:rPr>
          <w:rFonts w:cs="Arial"/>
          <w:color w:val="auto"/>
          <w:szCs w:val="22"/>
          <w:lang w:val="hr-HR"/>
        </w:rPr>
        <w:t xml:space="preserve"> tvrtke Doka</w:t>
      </w:r>
      <w:r w:rsidR="005900C1" w:rsidRPr="000C66F0">
        <w:rPr>
          <w:rFonts w:cs="Arial"/>
          <w:color w:val="auto"/>
          <w:szCs w:val="22"/>
          <w:lang w:val="hr-HR"/>
        </w:rPr>
        <w:t xml:space="preserve"> osigurana je maksimalna podrška</w:t>
      </w:r>
      <w:r w:rsidRPr="000C66F0">
        <w:rPr>
          <w:rFonts w:cs="Arial"/>
          <w:color w:val="auto"/>
          <w:szCs w:val="22"/>
          <w:lang w:val="hr-HR"/>
        </w:rPr>
        <w:t xml:space="preserve"> z</w:t>
      </w:r>
      <w:r w:rsidR="005900C1" w:rsidRPr="000C66F0">
        <w:rPr>
          <w:rFonts w:cs="Arial"/>
          <w:color w:val="auto"/>
          <w:szCs w:val="22"/>
          <w:lang w:val="hr-HR"/>
        </w:rPr>
        <w:t xml:space="preserve">ahvaljujući lokalnim kontaktima ali </w:t>
      </w:r>
      <w:r w:rsidRPr="000C66F0">
        <w:rPr>
          <w:rFonts w:cs="Arial"/>
          <w:color w:val="auto"/>
          <w:szCs w:val="22"/>
          <w:lang w:val="hr-HR"/>
        </w:rPr>
        <w:t>i stručnosti jednog od međunarodno vodećih dobavljača oplate.</w:t>
      </w:r>
      <w:r w:rsidR="00F473EF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F473EF" w:rsidRPr="000C66F0">
        <w:rPr>
          <w:rFonts w:cs="Arial"/>
          <w:color w:val="auto"/>
          <w:szCs w:val="22"/>
          <w:lang w:val="hr-HR"/>
        </w:rPr>
        <w:t>Dokin</w:t>
      </w:r>
      <w:proofErr w:type="spellEnd"/>
      <w:r w:rsidR="00F473EF" w:rsidRPr="000C66F0">
        <w:rPr>
          <w:rFonts w:cs="Arial"/>
          <w:color w:val="auto"/>
          <w:szCs w:val="22"/>
          <w:lang w:val="hr-HR"/>
        </w:rPr>
        <w:t xml:space="preserve"> Kompetencijski centar za elektrane nudi sveobuhvatni </w:t>
      </w:r>
      <w:proofErr w:type="spellStart"/>
      <w:r w:rsidR="00F473EF" w:rsidRPr="000C66F0">
        <w:rPr>
          <w:rFonts w:cs="Arial"/>
          <w:color w:val="auto"/>
          <w:szCs w:val="22"/>
          <w:lang w:val="hr-HR"/>
        </w:rPr>
        <w:t>know</w:t>
      </w:r>
      <w:proofErr w:type="spellEnd"/>
      <w:r w:rsidR="00F473EF" w:rsidRPr="000C66F0">
        <w:rPr>
          <w:rFonts w:cs="Arial"/>
          <w:color w:val="auto"/>
          <w:szCs w:val="22"/>
          <w:lang w:val="hr-HR"/>
        </w:rPr>
        <w:t>-how stečen na brojnim projektima širom svijeta.</w:t>
      </w:r>
      <w:r w:rsidR="008D19FC" w:rsidRPr="000C66F0">
        <w:rPr>
          <w:rFonts w:cs="Arial"/>
          <w:color w:val="auto"/>
          <w:szCs w:val="22"/>
          <w:lang w:val="hr-HR"/>
        </w:rPr>
        <w:t xml:space="preserve"> Kod kompleksnih projekata stručnjaci pružaju svoju podršku i </w:t>
      </w:r>
      <w:proofErr w:type="spellStart"/>
      <w:r w:rsidR="008D19FC" w:rsidRPr="000C66F0">
        <w:rPr>
          <w:rFonts w:cs="Arial"/>
          <w:color w:val="auto"/>
          <w:szCs w:val="22"/>
          <w:lang w:val="hr-HR"/>
        </w:rPr>
        <w:t>know</w:t>
      </w:r>
      <w:proofErr w:type="spellEnd"/>
      <w:r w:rsidR="008D19FC" w:rsidRPr="000C66F0">
        <w:rPr>
          <w:rFonts w:cs="Arial"/>
          <w:color w:val="auto"/>
          <w:szCs w:val="22"/>
          <w:lang w:val="hr-HR"/>
        </w:rPr>
        <w:t>-how lokalnim podružnicama i kupcima po cijelom svijetu, te svoja već stečena iskustva primjenjuju na nove projekte. U suradnji s Odjelom za istraživanje i razvoj, tvrtka Doka primjenjuje znanje stečeno na projektima energetskih postrojenja optimizirajući postojeće oplatne sustave te razvijajući nove proizvode, usluge i sigurnosne koncepte.</w:t>
      </w:r>
    </w:p>
    <w:p w:rsidR="00CE6D19" w:rsidRPr="000C66F0" w:rsidRDefault="008100B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b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lastRenderedPageBreak/>
        <w:br/>
      </w:r>
      <w:r w:rsidRPr="000C66F0">
        <w:rPr>
          <w:rFonts w:cs="Arial"/>
          <w:color w:val="auto"/>
          <w:szCs w:val="22"/>
          <w:lang w:val="hr-HR"/>
        </w:rPr>
        <w:br/>
      </w:r>
      <w:r w:rsidR="00E51C62" w:rsidRPr="000C66F0">
        <w:rPr>
          <w:rFonts w:cs="Arial"/>
          <w:b/>
          <w:color w:val="auto"/>
          <w:szCs w:val="22"/>
          <w:lang w:val="hr-HR"/>
        </w:rPr>
        <w:t>Višestruka sig</w:t>
      </w:r>
      <w:r w:rsidR="008D19FC" w:rsidRPr="000C66F0">
        <w:rPr>
          <w:rFonts w:cs="Arial"/>
          <w:b/>
          <w:color w:val="auto"/>
          <w:szCs w:val="22"/>
          <w:lang w:val="hr-HR"/>
        </w:rPr>
        <w:t xml:space="preserve">urnost </w:t>
      </w:r>
    </w:p>
    <w:p w:rsidR="00022CF9" w:rsidRPr="000C66F0" w:rsidRDefault="00022CF9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584860" w:rsidRPr="000C66F0" w:rsidRDefault="00022CF9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>Tema sigurnosti kod projekata izgradnje elektrana od višestrukog je značaja. S jedne s</w:t>
      </w:r>
      <w:r w:rsidR="00BA29C0" w:rsidRPr="000C66F0">
        <w:rPr>
          <w:rFonts w:cs="Arial"/>
          <w:color w:val="auto"/>
          <w:szCs w:val="22"/>
          <w:lang w:val="hr-HR"/>
        </w:rPr>
        <w:t>trane je sigurnost osoblja</w:t>
      </w:r>
      <w:r w:rsidRPr="000C66F0">
        <w:rPr>
          <w:rFonts w:cs="Arial"/>
          <w:color w:val="auto"/>
          <w:szCs w:val="22"/>
          <w:lang w:val="hr-HR"/>
        </w:rPr>
        <w:t xml:space="preserve"> na gradilištu važan faktor i sastavni dio svakog koncepta Doka oplata, dok s druge strane strukturni zahtjevi kao što su</w:t>
      </w:r>
      <w:r w:rsidR="00AB14FB" w:rsidRPr="000C66F0">
        <w:rPr>
          <w:rFonts w:cs="Arial"/>
          <w:color w:val="auto"/>
          <w:szCs w:val="22"/>
          <w:lang w:val="hr-HR"/>
        </w:rPr>
        <w:t xml:space="preserve"> </w:t>
      </w:r>
      <w:proofErr w:type="spellStart"/>
      <w:r w:rsidR="00AB14FB" w:rsidRPr="000C66F0">
        <w:rPr>
          <w:rFonts w:cs="Arial"/>
          <w:color w:val="auto"/>
          <w:szCs w:val="22"/>
          <w:lang w:val="hr-HR"/>
        </w:rPr>
        <w:t>zaptivanje</w:t>
      </w:r>
      <w:proofErr w:type="spellEnd"/>
      <w:r w:rsidR="00AB14FB" w:rsidRPr="000C66F0">
        <w:rPr>
          <w:rFonts w:cs="Arial"/>
          <w:color w:val="auto"/>
          <w:szCs w:val="22"/>
          <w:lang w:val="hr-HR"/>
        </w:rPr>
        <w:t xml:space="preserve">, strukturna odstupanja, mješavine betone te koncept spojnica, </w:t>
      </w:r>
      <w:r w:rsidRPr="000C66F0">
        <w:rPr>
          <w:rFonts w:cs="Arial"/>
          <w:color w:val="auto"/>
          <w:szCs w:val="22"/>
          <w:lang w:val="hr-HR"/>
        </w:rPr>
        <w:t>postavljaju visoke zahtjeve u pogledu oplatne tehnologije.</w:t>
      </w:r>
    </w:p>
    <w:p w:rsidR="00584860" w:rsidRPr="000C66F0" w:rsidRDefault="0058486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color w:val="auto"/>
          <w:szCs w:val="22"/>
          <w:lang w:val="hr-HR"/>
        </w:rPr>
      </w:pPr>
    </w:p>
    <w:p w:rsidR="008D19FC" w:rsidRPr="000C66F0" w:rsidRDefault="0058486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szCs w:val="22"/>
          <w:lang w:val="hr-HR"/>
        </w:rPr>
      </w:pPr>
      <w:r w:rsidRPr="000C66F0">
        <w:rPr>
          <w:rFonts w:cs="Arial"/>
          <w:color w:val="auto"/>
          <w:szCs w:val="22"/>
          <w:lang w:val="hr-HR"/>
        </w:rPr>
        <w:t>Upravo su postojeći ali i novi projekti energetskih postrojenja širom svijeta dokaz stručnosti tvrtke Doka u  energetskom sektoru. Brana „</w:t>
      </w:r>
      <w:proofErr w:type="spellStart"/>
      <w:r w:rsidRPr="000C66F0">
        <w:rPr>
          <w:rFonts w:cs="Arial"/>
          <w:color w:val="auto"/>
          <w:szCs w:val="22"/>
          <w:lang w:val="hr-HR"/>
        </w:rPr>
        <w:t>Midland</w:t>
      </w:r>
      <w:proofErr w:type="spellEnd"/>
      <w:r w:rsidRPr="000C66F0">
        <w:rPr>
          <w:rFonts w:cs="Arial"/>
          <w:color w:val="auto"/>
          <w:szCs w:val="22"/>
          <w:lang w:val="hr-HR"/>
        </w:rPr>
        <w:t>“ na Mauriciusu kao i „</w:t>
      </w:r>
      <w:proofErr w:type="spellStart"/>
      <w:r w:rsidRPr="000C66F0">
        <w:rPr>
          <w:rFonts w:cs="Arial"/>
          <w:color w:val="auto"/>
          <w:szCs w:val="22"/>
          <w:lang w:val="hr-HR"/>
        </w:rPr>
        <w:t>Castrovido</w:t>
      </w:r>
      <w:proofErr w:type="spellEnd"/>
      <w:r w:rsidRPr="000C66F0">
        <w:rPr>
          <w:rFonts w:cs="Arial"/>
          <w:color w:val="auto"/>
          <w:szCs w:val="22"/>
          <w:lang w:val="hr-HR"/>
        </w:rPr>
        <w:t>“ u Španjolsko svjedoče o znanju koje Doka ulaže u gradnju hidroelektrana. Tijekom izgradnje betonskog luka brane „</w:t>
      </w:r>
      <w:proofErr w:type="spellStart"/>
      <w:r w:rsidRPr="000C66F0">
        <w:rPr>
          <w:rFonts w:cs="Arial"/>
          <w:color w:val="auto"/>
          <w:szCs w:val="22"/>
          <w:lang w:val="hr-HR"/>
        </w:rPr>
        <w:t>Sarvsfossen</w:t>
      </w:r>
      <w:proofErr w:type="spellEnd"/>
      <w:r w:rsidRPr="000C66F0">
        <w:rPr>
          <w:rFonts w:cs="Arial"/>
          <w:color w:val="auto"/>
          <w:szCs w:val="22"/>
          <w:lang w:val="hr-HR"/>
        </w:rPr>
        <w:t xml:space="preserve">“ u Norveškoj 2013. godine, po prvi puta je korištena nova oplata za brane D35, što je ujedno bila i uspješna premijera standardnog sustava koji omogućuje taktove betoniranja visine 5 m </w:t>
      </w:r>
      <w:r w:rsidR="00D62FFE" w:rsidRPr="000C66F0">
        <w:rPr>
          <w:rFonts w:cs="Arial"/>
          <w:color w:val="auto"/>
          <w:szCs w:val="22"/>
          <w:lang w:val="hr-HR"/>
        </w:rPr>
        <w:t>uz integrirani sigurnosni i logistički koncept.</w:t>
      </w:r>
      <w:r w:rsidR="007E6672" w:rsidRPr="000C66F0">
        <w:rPr>
          <w:rFonts w:cs="Arial"/>
          <w:color w:val="auto"/>
          <w:szCs w:val="22"/>
          <w:lang w:val="hr-HR"/>
        </w:rPr>
        <w:t xml:space="preserve"> Za izgradnju 164 metra visokog rashladnog tornja termoelektrane 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Šoštanj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 u Sloveniji, Doka je izradila oplatno rješenje  pomoću oplate za rashladne tornjeve SK175. Također i LNG rezervoar „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Map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 Ta 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Phut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>“ u Tajlandu promjera 82 m i visine 52 m kao i rezervoar „Civil Works-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Ruwais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 GASCO“ u Abu 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Dhabiju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, te 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vjetropark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 „</w:t>
      </w:r>
      <w:proofErr w:type="spellStart"/>
      <w:r w:rsidR="007E6672" w:rsidRPr="000C66F0">
        <w:rPr>
          <w:rFonts w:cs="Arial"/>
          <w:color w:val="auto"/>
          <w:szCs w:val="22"/>
          <w:lang w:val="hr-HR"/>
        </w:rPr>
        <w:t>Thornton</w:t>
      </w:r>
      <w:proofErr w:type="spellEnd"/>
      <w:r w:rsidR="007E6672" w:rsidRPr="000C66F0">
        <w:rPr>
          <w:rFonts w:cs="Arial"/>
          <w:color w:val="auto"/>
          <w:szCs w:val="22"/>
          <w:lang w:val="hr-HR"/>
        </w:rPr>
        <w:t xml:space="preserve"> Bank“ u Belgiji svjedoče o širokom spektru ali i jednostavnosti u primjeni Doka oplatnih sustava.</w:t>
      </w:r>
      <w:r w:rsidR="00BA29C0" w:rsidRPr="000C66F0">
        <w:rPr>
          <w:rFonts w:cs="Arial"/>
          <w:color w:val="auto"/>
          <w:szCs w:val="22"/>
          <w:lang w:val="hr-HR"/>
        </w:rPr>
        <w:tab/>
      </w:r>
      <w:r w:rsidR="008100B0" w:rsidRPr="000C66F0">
        <w:rPr>
          <w:rFonts w:cs="Arial"/>
          <w:color w:val="auto"/>
          <w:szCs w:val="22"/>
          <w:lang w:val="hr-HR"/>
        </w:rPr>
        <w:br/>
      </w:r>
    </w:p>
    <w:p w:rsidR="007E6672" w:rsidRPr="000C66F0" w:rsidRDefault="007E6672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szCs w:val="22"/>
          <w:lang w:val="hr-HR"/>
        </w:rPr>
      </w:pPr>
      <w:r w:rsidRPr="000C66F0">
        <w:rPr>
          <w:rFonts w:cs="Arial"/>
          <w:szCs w:val="22"/>
          <w:lang w:val="hr-HR"/>
        </w:rPr>
        <w:t>Doka osobitu važnost pridaje profesionalnoj podršci kupcima na samom gradilištu. Stoga Doka instruktori na gradilištu osiguravaju podršku i stručne upute osoblju na gradilištu u pogledu profesionalnog postavljanja i rukovanja oplatom. Zajedničkom suradnjom i cjelovitim oplatnim rješenjima zagarantiran je uspjeh i kod najzahtjevnijih projekata.</w:t>
      </w:r>
    </w:p>
    <w:p w:rsidR="000C66F0" w:rsidRPr="000C66F0" w:rsidRDefault="000C66F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szCs w:val="22"/>
          <w:lang w:val="hr-HR"/>
        </w:rPr>
      </w:pPr>
    </w:p>
    <w:p w:rsidR="000C66F0" w:rsidRPr="000C66F0" w:rsidRDefault="000C66F0" w:rsidP="00EC23D2">
      <w:pPr>
        <w:shd w:val="clear" w:color="auto" w:fill="FFFFFF"/>
        <w:spacing w:line="276" w:lineRule="auto"/>
        <w:contextualSpacing/>
        <w:jc w:val="both"/>
        <w:textAlignment w:val="top"/>
        <w:rPr>
          <w:rFonts w:cs="Arial"/>
          <w:szCs w:val="22"/>
          <w:lang w:val="hr-HR"/>
        </w:rPr>
      </w:pPr>
    </w:p>
    <w:p w:rsidR="008D19FC" w:rsidRPr="000C66F0" w:rsidRDefault="008D19FC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Pr="000C66F0" w:rsidRDefault="000C66F0" w:rsidP="000C66F0">
      <w:pPr>
        <w:spacing w:line="276" w:lineRule="auto"/>
        <w:jc w:val="both"/>
        <w:rPr>
          <w:rFonts w:cs="Arial"/>
          <w:b/>
          <w:szCs w:val="22"/>
          <w:lang w:val="hr-HR"/>
        </w:rPr>
      </w:pPr>
      <w:r w:rsidRPr="000C66F0">
        <w:rPr>
          <w:rFonts w:cs="Arial"/>
          <w:b/>
          <w:szCs w:val="22"/>
          <w:lang w:val="hr-HR"/>
        </w:rPr>
        <w:t>O poduzeću:</w:t>
      </w:r>
    </w:p>
    <w:p w:rsidR="000C66F0" w:rsidRPr="000C66F0" w:rsidRDefault="000C66F0" w:rsidP="000C66F0">
      <w:pPr>
        <w:spacing w:line="276" w:lineRule="auto"/>
        <w:jc w:val="both"/>
        <w:rPr>
          <w:rFonts w:cs="Arial"/>
          <w:szCs w:val="22"/>
          <w:lang w:val="hr-HR"/>
        </w:rPr>
      </w:pPr>
    </w:p>
    <w:p w:rsidR="000C66F0" w:rsidRPr="000C66F0" w:rsidRDefault="000C66F0" w:rsidP="000C66F0">
      <w:pPr>
        <w:spacing w:line="276" w:lineRule="auto"/>
        <w:jc w:val="both"/>
        <w:rPr>
          <w:rFonts w:cs="Arial"/>
          <w:szCs w:val="22"/>
          <w:lang w:val="hr-HR"/>
        </w:rPr>
      </w:pPr>
      <w:r w:rsidRPr="000C66F0">
        <w:rPr>
          <w:rFonts w:cs="Arial"/>
          <w:szCs w:val="22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0C66F0">
        <w:rPr>
          <w:rFonts w:cs="Arial"/>
          <w:szCs w:val="22"/>
          <w:lang w:val="hr-HR"/>
        </w:rPr>
        <w:t>Umdasch</w:t>
      </w:r>
      <w:proofErr w:type="spellEnd"/>
      <w:r w:rsidRPr="000C66F0">
        <w:rPr>
          <w:rFonts w:cs="Arial"/>
          <w:szCs w:val="22"/>
          <w:lang w:val="hr-HR"/>
        </w:rPr>
        <w:t xml:space="preserve"> Grupe i zapošljava preko 6000 djelatnika diljem svijeta.</w:t>
      </w:r>
    </w:p>
    <w:p w:rsidR="000C66F0" w:rsidRP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P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Pr="000C66F0" w:rsidRDefault="000C66F0" w:rsidP="000C66F0">
      <w:pPr>
        <w:rPr>
          <w:rFonts w:cs="Arial"/>
          <w:b/>
          <w:szCs w:val="22"/>
          <w:lang w:val="de-AT"/>
        </w:rPr>
      </w:pPr>
      <w:r w:rsidRPr="000C66F0">
        <w:rPr>
          <w:rFonts w:cs="Arial"/>
          <w:b/>
          <w:szCs w:val="22"/>
          <w:lang w:val="de-AT"/>
        </w:rPr>
        <w:t xml:space="preserve">Kontakt </w:t>
      </w:r>
      <w:proofErr w:type="spellStart"/>
      <w:r w:rsidRPr="000C66F0">
        <w:rPr>
          <w:rFonts w:cs="Arial"/>
          <w:b/>
          <w:szCs w:val="22"/>
          <w:lang w:val="de-AT"/>
        </w:rPr>
        <w:t>za</w:t>
      </w:r>
      <w:proofErr w:type="spellEnd"/>
      <w:r w:rsidRPr="000C66F0">
        <w:rPr>
          <w:rFonts w:cs="Arial"/>
          <w:b/>
          <w:szCs w:val="22"/>
          <w:lang w:val="de-AT"/>
        </w:rPr>
        <w:t xml:space="preserve"> </w:t>
      </w:r>
      <w:proofErr w:type="spellStart"/>
      <w:r w:rsidRPr="000C66F0">
        <w:rPr>
          <w:rFonts w:cs="Arial"/>
          <w:b/>
          <w:szCs w:val="22"/>
          <w:lang w:val="de-AT"/>
        </w:rPr>
        <w:t>tisak</w:t>
      </w:r>
      <w:proofErr w:type="spellEnd"/>
      <w:r w:rsidRPr="000C66F0">
        <w:rPr>
          <w:rFonts w:cs="Arial"/>
          <w:b/>
          <w:szCs w:val="22"/>
          <w:lang w:val="de-AT"/>
        </w:rPr>
        <w:t>:</w:t>
      </w:r>
    </w:p>
    <w:p w:rsidR="000C66F0" w:rsidRPr="000C66F0" w:rsidRDefault="000C66F0" w:rsidP="000C66F0">
      <w:pPr>
        <w:rPr>
          <w:rFonts w:cs="Arial"/>
          <w:szCs w:val="22"/>
          <w:lang w:val="de-AT"/>
        </w:rPr>
      </w:pPr>
      <w:r w:rsidRPr="000C66F0">
        <w:rPr>
          <w:rFonts w:cs="Arial"/>
          <w:szCs w:val="22"/>
          <w:lang w:val="de-AT"/>
        </w:rPr>
        <w:t xml:space="preserve">Suzana </w:t>
      </w:r>
      <w:proofErr w:type="spellStart"/>
      <w:r w:rsidRPr="000C66F0">
        <w:rPr>
          <w:rFonts w:cs="Arial"/>
          <w:szCs w:val="22"/>
          <w:lang w:val="de-AT"/>
        </w:rPr>
        <w:t>Šubat</w:t>
      </w:r>
      <w:proofErr w:type="spellEnd"/>
    </w:p>
    <w:p w:rsidR="000C66F0" w:rsidRPr="000C66F0" w:rsidRDefault="000C66F0" w:rsidP="000C66F0">
      <w:pPr>
        <w:rPr>
          <w:rFonts w:cs="Arial"/>
          <w:szCs w:val="22"/>
          <w:lang w:val="de-AT"/>
        </w:rPr>
      </w:pPr>
      <w:proofErr w:type="spellStart"/>
      <w:r w:rsidRPr="000C66F0">
        <w:rPr>
          <w:rFonts w:cs="Arial"/>
          <w:szCs w:val="22"/>
          <w:lang w:val="de-AT"/>
        </w:rPr>
        <w:t>Voditelj</w:t>
      </w:r>
      <w:proofErr w:type="spellEnd"/>
      <w:r w:rsidRPr="000C66F0">
        <w:rPr>
          <w:rFonts w:cs="Arial"/>
          <w:szCs w:val="22"/>
          <w:lang w:val="de-AT"/>
        </w:rPr>
        <w:t xml:space="preserve"> </w:t>
      </w:r>
      <w:proofErr w:type="spellStart"/>
      <w:r w:rsidRPr="000C66F0">
        <w:rPr>
          <w:rFonts w:cs="Arial"/>
          <w:szCs w:val="22"/>
          <w:lang w:val="de-AT"/>
        </w:rPr>
        <w:t>marketinga</w:t>
      </w:r>
      <w:proofErr w:type="spellEnd"/>
    </w:p>
    <w:p w:rsidR="000C66F0" w:rsidRPr="000C66F0" w:rsidRDefault="000C66F0" w:rsidP="000C66F0">
      <w:pPr>
        <w:rPr>
          <w:rFonts w:cs="Arial"/>
          <w:szCs w:val="22"/>
          <w:lang w:val="de-AT"/>
        </w:rPr>
      </w:pPr>
      <w:proofErr w:type="spellStart"/>
      <w:r w:rsidRPr="000C66F0">
        <w:rPr>
          <w:rFonts w:cs="Arial"/>
          <w:szCs w:val="22"/>
          <w:lang w:val="de-AT"/>
        </w:rPr>
        <w:t>Doka</w:t>
      </w:r>
      <w:proofErr w:type="spellEnd"/>
      <w:r w:rsidRPr="000C66F0">
        <w:rPr>
          <w:rFonts w:cs="Arial"/>
          <w:szCs w:val="22"/>
          <w:lang w:val="de-AT"/>
        </w:rPr>
        <w:t xml:space="preserve"> </w:t>
      </w:r>
      <w:proofErr w:type="spellStart"/>
      <w:r w:rsidRPr="000C66F0">
        <w:rPr>
          <w:rFonts w:cs="Arial"/>
          <w:szCs w:val="22"/>
          <w:lang w:val="de-AT"/>
        </w:rPr>
        <w:t>Hrvatska</w:t>
      </w:r>
      <w:proofErr w:type="spellEnd"/>
      <w:r w:rsidRPr="000C66F0">
        <w:rPr>
          <w:rFonts w:cs="Arial"/>
          <w:szCs w:val="22"/>
          <w:lang w:val="de-AT"/>
        </w:rPr>
        <w:t xml:space="preserve"> </w:t>
      </w:r>
      <w:proofErr w:type="spellStart"/>
      <w:r w:rsidRPr="000C66F0">
        <w:rPr>
          <w:rFonts w:cs="Arial"/>
          <w:szCs w:val="22"/>
          <w:lang w:val="de-AT"/>
        </w:rPr>
        <w:t>d.o.o</w:t>
      </w:r>
      <w:proofErr w:type="spellEnd"/>
      <w:r w:rsidRPr="000C66F0">
        <w:rPr>
          <w:rFonts w:cs="Arial"/>
          <w:szCs w:val="22"/>
          <w:lang w:val="de-AT"/>
        </w:rPr>
        <w:t>.</w:t>
      </w:r>
    </w:p>
    <w:p w:rsidR="000C66F0" w:rsidRPr="000C66F0" w:rsidRDefault="000C66F0" w:rsidP="000C66F0">
      <w:pPr>
        <w:rPr>
          <w:rFonts w:cs="Arial"/>
          <w:szCs w:val="22"/>
          <w:lang w:val="de-AT"/>
        </w:rPr>
      </w:pPr>
      <w:proofErr w:type="spellStart"/>
      <w:r w:rsidRPr="000C66F0">
        <w:rPr>
          <w:rFonts w:cs="Arial"/>
          <w:szCs w:val="22"/>
          <w:lang w:val="de-AT"/>
        </w:rPr>
        <w:t>Radnička</w:t>
      </w:r>
      <w:proofErr w:type="spellEnd"/>
      <w:r w:rsidRPr="000C66F0">
        <w:rPr>
          <w:rFonts w:cs="Arial"/>
          <w:szCs w:val="22"/>
          <w:lang w:val="de-AT"/>
        </w:rPr>
        <w:t xml:space="preserve"> </w:t>
      </w:r>
      <w:proofErr w:type="spellStart"/>
      <w:r w:rsidRPr="000C66F0">
        <w:rPr>
          <w:rFonts w:cs="Arial"/>
          <w:szCs w:val="22"/>
          <w:lang w:val="de-AT"/>
        </w:rPr>
        <w:t>cesta</w:t>
      </w:r>
      <w:proofErr w:type="spellEnd"/>
      <w:r w:rsidRPr="000C66F0">
        <w:rPr>
          <w:rFonts w:cs="Arial"/>
          <w:szCs w:val="22"/>
          <w:lang w:val="de-AT"/>
        </w:rPr>
        <w:t xml:space="preserve"> 173/g, 10000 Zagreb</w:t>
      </w:r>
    </w:p>
    <w:p w:rsidR="000C66F0" w:rsidRPr="000C66F0" w:rsidRDefault="000C66F0" w:rsidP="000C66F0">
      <w:pPr>
        <w:rPr>
          <w:rFonts w:cs="Arial"/>
          <w:szCs w:val="22"/>
          <w:lang w:val="pt-BR"/>
        </w:rPr>
      </w:pPr>
      <w:r w:rsidRPr="000C66F0">
        <w:rPr>
          <w:rFonts w:cs="Arial"/>
          <w:szCs w:val="22"/>
          <w:lang w:val="pt-BR"/>
        </w:rPr>
        <w:t>Tel.: +385 1 2480 020</w:t>
      </w:r>
    </w:p>
    <w:p w:rsidR="000C66F0" w:rsidRPr="000C66F0" w:rsidRDefault="000C66F0" w:rsidP="000C66F0">
      <w:pPr>
        <w:rPr>
          <w:rFonts w:cs="Arial"/>
          <w:szCs w:val="22"/>
          <w:lang w:val="pt-BR"/>
        </w:rPr>
      </w:pPr>
      <w:r w:rsidRPr="000C66F0">
        <w:rPr>
          <w:rFonts w:cs="Arial"/>
          <w:szCs w:val="22"/>
          <w:lang w:val="pt-BR"/>
        </w:rPr>
        <w:t>E-mail: suzana.subat@doka.com</w:t>
      </w:r>
    </w:p>
    <w:p w:rsidR="000C66F0" w:rsidRPr="000C66F0" w:rsidRDefault="000C66F0" w:rsidP="000C66F0">
      <w:pPr>
        <w:rPr>
          <w:rFonts w:cs="Arial"/>
          <w:szCs w:val="22"/>
        </w:rPr>
      </w:pPr>
      <w:r w:rsidRPr="000C66F0">
        <w:rPr>
          <w:rFonts w:cs="Arial"/>
          <w:szCs w:val="22"/>
        </w:rPr>
        <w:t>Web: www.doka.com/hr</w:t>
      </w:r>
    </w:p>
    <w:p w:rsid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P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0C66F0" w:rsidRPr="000C66F0" w:rsidRDefault="000C66F0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374AF1" w:rsidRPr="000C66F0" w:rsidRDefault="00374AF1" w:rsidP="00EC23D2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  <w:lang w:val="hr-HR"/>
        </w:rPr>
      </w:pPr>
      <w:r w:rsidRPr="000C66F0">
        <w:rPr>
          <w:rFonts w:ascii="Arial" w:hAnsi="Arial" w:cs="Arial"/>
          <w:b/>
          <w:sz w:val="22"/>
          <w:szCs w:val="22"/>
          <w:lang w:val="hr-HR"/>
        </w:rPr>
        <w:t>Tekstovi uz slike:</w:t>
      </w:r>
    </w:p>
    <w:p w:rsidR="00374AF1" w:rsidRPr="000C66F0" w:rsidRDefault="00374AF1" w:rsidP="00EC23D2">
      <w:pPr>
        <w:pStyle w:val="Standard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374AF1" w:rsidRPr="000C66F0" w:rsidRDefault="00374AF1" w:rsidP="00EC23D2">
      <w:pPr>
        <w:pStyle w:val="Bildunterschrift"/>
        <w:spacing w:before="0" w:line="276" w:lineRule="auto"/>
        <w:jc w:val="both"/>
        <w:rPr>
          <w:szCs w:val="22"/>
          <w:lang w:val="hr-HR"/>
        </w:rPr>
      </w:pPr>
      <w:r w:rsidRPr="000C66F0">
        <w:rPr>
          <w:szCs w:val="22"/>
          <w:lang w:val="hr-HR"/>
        </w:rPr>
        <w:t>Doka_2013_11_Energy_IMG_01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hr-HR"/>
        </w:rPr>
      </w:pPr>
      <w:r w:rsidRPr="000C66F0">
        <w:rPr>
          <w:szCs w:val="22"/>
          <w:lang w:val="hr-HR"/>
        </w:rPr>
        <w:t xml:space="preserve">Povijest </w:t>
      </w:r>
      <w:proofErr w:type="spellStart"/>
      <w:r w:rsidRPr="000C66F0">
        <w:rPr>
          <w:szCs w:val="22"/>
          <w:lang w:val="hr-HR"/>
        </w:rPr>
        <w:t>Doke</w:t>
      </w:r>
      <w:proofErr w:type="spellEnd"/>
      <w:r w:rsidRPr="000C66F0">
        <w:rPr>
          <w:szCs w:val="22"/>
          <w:lang w:val="hr-HR"/>
        </w:rPr>
        <w:t xml:space="preserve"> usko je povezana s gradnjom elektrana. Višegodišnje iskustvo na međunarodnim projektima predstavlja značajnu pomoć </w:t>
      </w:r>
      <w:proofErr w:type="spellStart"/>
      <w:r w:rsidRPr="000C66F0">
        <w:rPr>
          <w:szCs w:val="22"/>
          <w:lang w:val="hr-HR"/>
        </w:rPr>
        <w:t>Dokinim</w:t>
      </w:r>
      <w:proofErr w:type="spellEnd"/>
      <w:r w:rsidRPr="000C66F0">
        <w:rPr>
          <w:szCs w:val="22"/>
          <w:lang w:val="hr-HR"/>
        </w:rPr>
        <w:t xml:space="preserve"> klijentima u realizaciji njihovih građevinskih projekata.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hr-HR"/>
        </w:rPr>
      </w:pPr>
      <w:r w:rsidRPr="000C66F0">
        <w:rPr>
          <w:szCs w:val="22"/>
          <w:lang w:val="hr-HR"/>
        </w:rPr>
        <w:t>Photo: Doka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hr-HR"/>
        </w:rPr>
      </w:pPr>
    </w:p>
    <w:p w:rsidR="00374AF1" w:rsidRPr="000C66F0" w:rsidRDefault="00374AF1" w:rsidP="00EC23D2">
      <w:pPr>
        <w:pStyle w:val="Bildunterschrift"/>
        <w:spacing w:before="0" w:line="276" w:lineRule="auto"/>
        <w:jc w:val="both"/>
        <w:rPr>
          <w:szCs w:val="22"/>
          <w:lang w:val="hr-HR"/>
        </w:rPr>
      </w:pPr>
      <w:r w:rsidRPr="000C66F0">
        <w:rPr>
          <w:szCs w:val="22"/>
          <w:lang w:val="hr-HR"/>
        </w:rPr>
        <w:t>Doka_2013_11_Energy_IMG_02</w:t>
      </w:r>
    </w:p>
    <w:p w:rsidR="00374AF1" w:rsidRPr="000C66F0" w:rsidRDefault="005B7956" w:rsidP="00EC23D2">
      <w:pPr>
        <w:pStyle w:val="Einleitung"/>
        <w:spacing w:line="276" w:lineRule="auto"/>
        <w:jc w:val="both"/>
        <w:rPr>
          <w:rFonts w:cs="Arial"/>
          <w:b w:val="0"/>
          <w:bCs w:val="0"/>
          <w:szCs w:val="22"/>
          <w:lang w:val="hr-HR"/>
        </w:rPr>
      </w:pPr>
      <w:r w:rsidRPr="000C66F0">
        <w:rPr>
          <w:rFonts w:cs="Arial"/>
          <w:b w:val="0"/>
          <w:szCs w:val="22"/>
          <w:lang w:val="hr-HR"/>
        </w:rPr>
        <w:t>Premijerna primjena oplate za brane</w:t>
      </w:r>
      <w:r w:rsidR="00374AF1" w:rsidRPr="000C66F0">
        <w:rPr>
          <w:rFonts w:cs="Arial"/>
          <w:b w:val="0"/>
          <w:szCs w:val="22"/>
          <w:lang w:val="hr-HR"/>
        </w:rPr>
        <w:t xml:space="preserve"> D35: nov</w:t>
      </w:r>
      <w:r w:rsidRPr="000C66F0">
        <w:rPr>
          <w:rFonts w:cs="Arial"/>
          <w:b w:val="0"/>
          <w:szCs w:val="22"/>
          <w:lang w:val="hr-HR"/>
        </w:rPr>
        <w:t>i</w:t>
      </w:r>
      <w:r w:rsidR="00374AF1" w:rsidRPr="000C66F0">
        <w:rPr>
          <w:rFonts w:cs="Arial"/>
          <w:b w:val="0"/>
          <w:szCs w:val="22"/>
          <w:lang w:val="hr-HR"/>
        </w:rPr>
        <w:t xml:space="preserve"> </w:t>
      </w:r>
      <w:proofErr w:type="spellStart"/>
      <w:r w:rsidR="00374AF1" w:rsidRPr="000C66F0">
        <w:rPr>
          <w:rFonts w:cs="Arial"/>
          <w:b w:val="0"/>
          <w:szCs w:val="22"/>
          <w:lang w:val="hr-HR"/>
        </w:rPr>
        <w:t>Dokin</w:t>
      </w:r>
      <w:proofErr w:type="spellEnd"/>
      <w:r w:rsidR="00374AF1" w:rsidRPr="000C66F0">
        <w:rPr>
          <w:rFonts w:cs="Arial"/>
          <w:b w:val="0"/>
          <w:szCs w:val="22"/>
          <w:lang w:val="hr-HR"/>
        </w:rPr>
        <w:t xml:space="preserve"> </w:t>
      </w:r>
      <w:r w:rsidRPr="000C66F0">
        <w:rPr>
          <w:rFonts w:cs="Arial"/>
          <w:b w:val="0"/>
          <w:szCs w:val="22"/>
          <w:lang w:val="hr-HR"/>
        </w:rPr>
        <w:t xml:space="preserve">oplatni sustav po prvi puta je korišten pri izgradnji brane  </w:t>
      </w:r>
      <w:r w:rsidR="00374AF1" w:rsidRPr="000C66F0">
        <w:rPr>
          <w:rFonts w:cs="Arial"/>
          <w:b w:val="0"/>
          <w:szCs w:val="22"/>
          <w:lang w:val="hr-HR"/>
        </w:rPr>
        <w:t xml:space="preserve">“Dam </w:t>
      </w:r>
      <w:proofErr w:type="spellStart"/>
      <w:r w:rsidR="00374AF1" w:rsidRPr="000C66F0">
        <w:rPr>
          <w:rFonts w:cs="Arial"/>
          <w:b w:val="0"/>
          <w:szCs w:val="22"/>
          <w:lang w:val="hr-HR"/>
        </w:rPr>
        <w:t>Sarvsfossen</w:t>
      </w:r>
      <w:proofErr w:type="spellEnd"/>
      <w:r w:rsidR="00374AF1" w:rsidRPr="000C66F0">
        <w:rPr>
          <w:rFonts w:cs="Arial"/>
          <w:b w:val="0"/>
          <w:szCs w:val="22"/>
          <w:lang w:val="hr-HR"/>
        </w:rPr>
        <w:t xml:space="preserve">” </w:t>
      </w:r>
      <w:r w:rsidRPr="000C66F0">
        <w:rPr>
          <w:rFonts w:cs="Arial"/>
          <w:b w:val="0"/>
          <w:szCs w:val="22"/>
          <w:lang w:val="hr-HR"/>
        </w:rPr>
        <w:t>u Norveškoj.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  <w:proofErr w:type="spellStart"/>
      <w:r w:rsidRPr="000C66F0">
        <w:rPr>
          <w:szCs w:val="22"/>
          <w:lang w:val="de-DE"/>
        </w:rPr>
        <w:t>Photo</w:t>
      </w:r>
      <w:proofErr w:type="spellEnd"/>
      <w:r w:rsidRPr="000C66F0">
        <w:rPr>
          <w:szCs w:val="22"/>
          <w:lang w:val="de-DE"/>
        </w:rPr>
        <w:t xml:space="preserve">: </w:t>
      </w:r>
      <w:proofErr w:type="spellStart"/>
      <w:r w:rsidRPr="000C66F0">
        <w:rPr>
          <w:szCs w:val="22"/>
          <w:lang w:val="de-DE"/>
        </w:rPr>
        <w:t>Doka</w:t>
      </w:r>
      <w:proofErr w:type="spellEnd"/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</w:p>
    <w:p w:rsidR="00374AF1" w:rsidRPr="000C66F0" w:rsidRDefault="00374AF1" w:rsidP="00EC23D2">
      <w:pPr>
        <w:pStyle w:val="Bildunterschrift"/>
        <w:spacing w:before="0" w:line="276" w:lineRule="auto"/>
        <w:jc w:val="both"/>
        <w:rPr>
          <w:szCs w:val="22"/>
          <w:lang w:val="de-DE"/>
        </w:rPr>
      </w:pPr>
      <w:r w:rsidRPr="000C66F0">
        <w:rPr>
          <w:szCs w:val="22"/>
          <w:lang w:val="de-DE"/>
        </w:rPr>
        <w:t>Doka_2013_11_Energy_IMG_03</w:t>
      </w:r>
    </w:p>
    <w:p w:rsidR="005B7956" w:rsidRPr="000C66F0" w:rsidRDefault="005B7956" w:rsidP="00EC23D2">
      <w:pPr>
        <w:pStyle w:val="Einleitung"/>
        <w:spacing w:line="276" w:lineRule="auto"/>
        <w:jc w:val="both"/>
        <w:rPr>
          <w:rFonts w:cs="Arial"/>
          <w:b w:val="0"/>
          <w:szCs w:val="22"/>
          <w:lang w:val="de-DE"/>
        </w:rPr>
      </w:pPr>
      <w:r w:rsidRPr="000C66F0">
        <w:rPr>
          <w:rFonts w:cs="Arial"/>
          <w:b w:val="0"/>
          <w:szCs w:val="22"/>
          <w:lang w:val="hr-HR"/>
        </w:rPr>
        <w:t xml:space="preserve">Doka sustavi koriste se i kod izgradnje </w:t>
      </w:r>
      <w:proofErr w:type="spellStart"/>
      <w:r w:rsidRPr="000C66F0">
        <w:rPr>
          <w:rFonts w:cs="Arial"/>
          <w:b w:val="0"/>
          <w:szCs w:val="22"/>
          <w:lang w:val="hr-HR"/>
        </w:rPr>
        <w:t>vjetroturbina</w:t>
      </w:r>
      <w:proofErr w:type="spellEnd"/>
      <w:r w:rsidRPr="000C66F0">
        <w:rPr>
          <w:rFonts w:cs="Arial"/>
          <w:b w:val="0"/>
          <w:szCs w:val="22"/>
          <w:lang w:val="hr-HR"/>
        </w:rPr>
        <w:t>, kako za temelje, tako i za tornjeve</w:t>
      </w:r>
      <w:r w:rsidRPr="000C66F0">
        <w:rPr>
          <w:rFonts w:cs="Arial"/>
          <w:szCs w:val="22"/>
          <w:lang w:val="hr-HR"/>
        </w:rPr>
        <w:t>.</w:t>
      </w:r>
    </w:p>
    <w:p w:rsidR="00374AF1" w:rsidRPr="000C66F0" w:rsidRDefault="00374AF1" w:rsidP="00EC23D2">
      <w:pPr>
        <w:pStyle w:val="Einleitung"/>
        <w:spacing w:line="276" w:lineRule="auto"/>
        <w:jc w:val="both"/>
        <w:rPr>
          <w:rFonts w:cs="Arial"/>
          <w:b w:val="0"/>
          <w:bCs w:val="0"/>
          <w:szCs w:val="22"/>
          <w:lang w:val="en-US"/>
        </w:rPr>
      </w:pPr>
      <w:proofErr w:type="spellStart"/>
      <w:r w:rsidRPr="000C66F0">
        <w:rPr>
          <w:rFonts w:cs="Arial"/>
          <w:b w:val="0"/>
          <w:szCs w:val="22"/>
          <w:lang w:val="en-US"/>
        </w:rPr>
        <w:t>Prim</w:t>
      </w:r>
      <w:r w:rsidR="005B7956" w:rsidRPr="000C66F0">
        <w:rPr>
          <w:rFonts w:cs="Arial"/>
          <w:b w:val="0"/>
          <w:szCs w:val="22"/>
          <w:lang w:val="en-US"/>
        </w:rPr>
        <w:t>j</w:t>
      </w:r>
      <w:r w:rsidRPr="000C66F0">
        <w:rPr>
          <w:rFonts w:cs="Arial"/>
          <w:b w:val="0"/>
          <w:szCs w:val="22"/>
          <w:lang w:val="en-US"/>
        </w:rPr>
        <w:t>er</w:t>
      </w:r>
      <w:proofErr w:type="spellEnd"/>
      <w:r w:rsidRPr="000C66F0">
        <w:rPr>
          <w:rFonts w:cs="Arial"/>
          <w:b w:val="0"/>
          <w:szCs w:val="22"/>
          <w:lang w:val="en-US"/>
        </w:rPr>
        <w:t>:</w:t>
      </w:r>
      <w:r w:rsidRPr="000C66F0">
        <w:rPr>
          <w:rFonts w:cs="Arial"/>
          <w:szCs w:val="22"/>
          <w:lang w:val="en-US"/>
        </w:rPr>
        <w:t xml:space="preserve"> „</w:t>
      </w:r>
      <w:r w:rsidRPr="000C66F0">
        <w:rPr>
          <w:rFonts w:cs="Arial"/>
          <w:b w:val="0"/>
          <w:szCs w:val="22"/>
          <w:lang w:val="en-US"/>
        </w:rPr>
        <w:t>Thornton Bank</w:t>
      </w:r>
      <w:r w:rsidR="005B7956" w:rsidRPr="000C66F0">
        <w:rPr>
          <w:rFonts w:cs="Arial"/>
          <w:b w:val="0"/>
          <w:szCs w:val="22"/>
          <w:lang w:val="en-US"/>
        </w:rPr>
        <w:t xml:space="preserve">” u </w:t>
      </w:r>
      <w:proofErr w:type="spellStart"/>
      <w:r w:rsidR="005B7956" w:rsidRPr="000C66F0">
        <w:rPr>
          <w:rFonts w:cs="Arial"/>
          <w:b w:val="0"/>
          <w:szCs w:val="22"/>
          <w:lang w:val="en-US"/>
        </w:rPr>
        <w:t>Belgiji</w:t>
      </w:r>
      <w:proofErr w:type="spellEnd"/>
      <w:r w:rsidR="005B7956" w:rsidRPr="000C66F0">
        <w:rPr>
          <w:rFonts w:cs="Arial"/>
          <w:b w:val="0"/>
          <w:szCs w:val="22"/>
          <w:lang w:val="en-US"/>
        </w:rPr>
        <w:t>.</w:t>
      </w:r>
      <w:r w:rsidRPr="000C66F0">
        <w:rPr>
          <w:rFonts w:cs="Arial"/>
          <w:b w:val="0"/>
          <w:szCs w:val="22"/>
          <w:lang w:val="en-US"/>
        </w:rPr>
        <w:t xml:space="preserve"> 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  <w:proofErr w:type="spellStart"/>
      <w:r w:rsidRPr="000C66F0">
        <w:rPr>
          <w:szCs w:val="22"/>
          <w:lang w:val="de-DE"/>
        </w:rPr>
        <w:t>Photo</w:t>
      </w:r>
      <w:proofErr w:type="spellEnd"/>
      <w:r w:rsidRPr="000C66F0">
        <w:rPr>
          <w:szCs w:val="22"/>
          <w:lang w:val="de-DE"/>
        </w:rPr>
        <w:t xml:space="preserve">: </w:t>
      </w:r>
      <w:proofErr w:type="spellStart"/>
      <w:r w:rsidRPr="000C66F0">
        <w:rPr>
          <w:szCs w:val="22"/>
          <w:lang w:val="de-DE"/>
        </w:rPr>
        <w:t>Doka</w:t>
      </w:r>
      <w:proofErr w:type="spellEnd"/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</w:p>
    <w:p w:rsidR="00374AF1" w:rsidRPr="000C66F0" w:rsidRDefault="00374AF1" w:rsidP="00EC23D2">
      <w:pPr>
        <w:pStyle w:val="Bildunterschrift"/>
        <w:spacing w:before="0" w:line="276" w:lineRule="auto"/>
        <w:jc w:val="both"/>
        <w:rPr>
          <w:szCs w:val="22"/>
          <w:lang w:val="de-DE"/>
        </w:rPr>
      </w:pPr>
      <w:r w:rsidRPr="000C66F0">
        <w:rPr>
          <w:szCs w:val="22"/>
          <w:lang w:val="de-DE"/>
        </w:rPr>
        <w:t>Doka_2013_11_Energy_IMG_04</w:t>
      </w:r>
    </w:p>
    <w:p w:rsidR="00E162C3" w:rsidRPr="000C66F0" w:rsidRDefault="00E162C3" w:rsidP="00EC23D2">
      <w:pPr>
        <w:pStyle w:val="Einleitung"/>
        <w:spacing w:line="276" w:lineRule="auto"/>
        <w:jc w:val="both"/>
        <w:rPr>
          <w:rFonts w:cs="Arial"/>
          <w:b w:val="0"/>
          <w:bCs w:val="0"/>
          <w:szCs w:val="22"/>
          <w:lang w:val="de-DE"/>
        </w:rPr>
      </w:pPr>
      <w:proofErr w:type="spellStart"/>
      <w:r w:rsidRPr="000C66F0">
        <w:rPr>
          <w:rFonts w:cs="Arial"/>
          <w:b w:val="0"/>
          <w:bCs w:val="0"/>
          <w:szCs w:val="22"/>
          <w:lang w:val="de-DE"/>
        </w:rPr>
        <w:t>Za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izgradnju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164 m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visokog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rashladnog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tornja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termoelektrane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Šoštanj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,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Doka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je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isporučila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</w:t>
      </w:r>
      <w:proofErr w:type="spellStart"/>
      <w:r w:rsidRPr="000C66F0">
        <w:rPr>
          <w:rFonts w:cs="Arial"/>
          <w:b w:val="0"/>
          <w:bCs w:val="0"/>
          <w:szCs w:val="22"/>
          <w:lang w:val="de-DE"/>
        </w:rPr>
        <w:t>oplatu</w:t>
      </w:r>
      <w:proofErr w:type="spellEnd"/>
      <w:r w:rsidRPr="000C66F0">
        <w:rPr>
          <w:rFonts w:cs="Arial"/>
          <w:b w:val="0"/>
          <w:bCs w:val="0"/>
          <w:szCs w:val="22"/>
          <w:lang w:val="de-DE"/>
        </w:rPr>
        <w:t xml:space="preserve"> SK175.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  <w:proofErr w:type="spellStart"/>
      <w:r w:rsidRPr="000C66F0">
        <w:rPr>
          <w:szCs w:val="22"/>
          <w:lang w:val="de-DE"/>
        </w:rPr>
        <w:t>Photo</w:t>
      </w:r>
      <w:proofErr w:type="spellEnd"/>
      <w:r w:rsidRPr="000C66F0">
        <w:rPr>
          <w:szCs w:val="22"/>
          <w:lang w:val="de-DE"/>
        </w:rPr>
        <w:t xml:space="preserve">: </w:t>
      </w:r>
      <w:proofErr w:type="spellStart"/>
      <w:r w:rsidRPr="000C66F0">
        <w:rPr>
          <w:szCs w:val="22"/>
          <w:lang w:val="de-DE"/>
        </w:rPr>
        <w:t>Doka</w:t>
      </w:r>
      <w:proofErr w:type="spellEnd"/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</w:p>
    <w:p w:rsidR="00374AF1" w:rsidRPr="000C66F0" w:rsidRDefault="00374AF1" w:rsidP="00EC23D2">
      <w:pPr>
        <w:pStyle w:val="Bildunterschrift"/>
        <w:spacing w:before="0" w:line="276" w:lineRule="auto"/>
        <w:jc w:val="both"/>
        <w:rPr>
          <w:szCs w:val="22"/>
          <w:lang w:val="de-DE"/>
        </w:rPr>
      </w:pPr>
      <w:r w:rsidRPr="000C66F0">
        <w:rPr>
          <w:szCs w:val="22"/>
          <w:lang w:val="de-DE"/>
        </w:rPr>
        <w:t>Doka_2013_11_Energy_IMG_05</w:t>
      </w:r>
    </w:p>
    <w:p w:rsidR="000B2911" w:rsidRPr="000C66F0" w:rsidRDefault="000B2911" w:rsidP="00EC23D2">
      <w:pPr>
        <w:pStyle w:val="Bildunterschrift"/>
        <w:spacing w:before="0" w:line="276" w:lineRule="auto"/>
        <w:jc w:val="both"/>
        <w:rPr>
          <w:b w:val="0"/>
          <w:szCs w:val="22"/>
          <w:lang w:val="de-DE"/>
        </w:rPr>
      </w:pPr>
      <w:proofErr w:type="spellStart"/>
      <w:r w:rsidRPr="000C66F0">
        <w:rPr>
          <w:b w:val="0"/>
          <w:szCs w:val="22"/>
          <w:lang w:val="de-DE"/>
        </w:rPr>
        <w:t>Prilikom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izgradnje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rezervoara</w:t>
      </w:r>
      <w:proofErr w:type="spellEnd"/>
      <w:r w:rsidRPr="000C66F0">
        <w:rPr>
          <w:b w:val="0"/>
          <w:szCs w:val="22"/>
          <w:lang w:val="de-DE"/>
        </w:rPr>
        <w:t xml:space="preserve"> „</w:t>
      </w:r>
      <w:proofErr w:type="spellStart"/>
      <w:r w:rsidRPr="000C66F0">
        <w:rPr>
          <w:b w:val="0"/>
          <w:szCs w:val="22"/>
          <w:lang w:val="de-DE"/>
        </w:rPr>
        <w:t>Map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Ta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Phut</w:t>
      </w:r>
      <w:proofErr w:type="spellEnd"/>
      <w:r w:rsidRPr="000C66F0">
        <w:rPr>
          <w:b w:val="0"/>
          <w:szCs w:val="22"/>
          <w:lang w:val="de-DE"/>
        </w:rPr>
        <w:t xml:space="preserve">“ u </w:t>
      </w:r>
      <w:proofErr w:type="spellStart"/>
      <w:r w:rsidRPr="000C66F0">
        <w:rPr>
          <w:b w:val="0"/>
          <w:szCs w:val="22"/>
          <w:lang w:val="de-DE"/>
        </w:rPr>
        <w:t>Tajlandu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promjera</w:t>
      </w:r>
      <w:proofErr w:type="spellEnd"/>
      <w:r w:rsidRPr="000C66F0">
        <w:rPr>
          <w:b w:val="0"/>
          <w:szCs w:val="22"/>
          <w:lang w:val="de-DE"/>
        </w:rPr>
        <w:t xml:space="preserve"> 82 m i </w:t>
      </w:r>
      <w:proofErr w:type="spellStart"/>
      <w:r w:rsidRPr="000C66F0">
        <w:rPr>
          <w:b w:val="0"/>
          <w:szCs w:val="22"/>
          <w:lang w:val="de-DE"/>
        </w:rPr>
        <w:t>visine</w:t>
      </w:r>
      <w:proofErr w:type="spellEnd"/>
      <w:r w:rsidRPr="000C66F0">
        <w:rPr>
          <w:b w:val="0"/>
          <w:szCs w:val="22"/>
          <w:lang w:val="de-DE"/>
        </w:rPr>
        <w:t xml:space="preserve"> 53 m, </w:t>
      </w:r>
      <w:proofErr w:type="spellStart"/>
      <w:r w:rsidRPr="000C66F0">
        <w:rPr>
          <w:b w:val="0"/>
          <w:szCs w:val="22"/>
          <w:lang w:val="de-DE"/>
        </w:rPr>
        <w:t>primjenom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penjajuće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oplate</w:t>
      </w:r>
      <w:proofErr w:type="spellEnd"/>
      <w:r w:rsidRPr="000C66F0">
        <w:rPr>
          <w:b w:val="0"/>
          <w:szCs w:val="22"/>
          <w:lang w:val="de-DE"/>
        </w:rPr>
        <w:t xml:space="preserve"> MF240 </w:t>
      </w:r>
      <w:proofErr w:type="spellStart"/>
      <w:r w:rsidRPr="000C66F0">
        <w:rPr>
          <w:b w:val="0"/>
          <w:szCs w:val="22"/>
          <w:lang w:val="de-DE"/>
        </w:rPr>
        <w:t>osiguran</w:t>
      </w:r>
      <w:proofErr w:type="spellEnd"/>
      <w:r w:rsidRPr="000C66F0">
        <w:rPr>
          <w:b w:val="0"/>
          <w:szCs w:val="22"/>
          <w:lang w:val="de-DE"/>
        </w:rPr>
        <w:t xml:space="preserve"> je </w:t>
      </w:r>
      <w:proofErr w:type="spellStart"/>
      <w:r w:rsidRPr="000C66F0">
        <w:rPr>
          <w:b w:val="0"/>
          <w:szCs w:val="22"/>
          <w:lang w:val="de-DE"/>
        </w:rPr>
        <w:t>sistematičan</w:t>
      </w:r>
      <w:proofErr w:type="spellEnd"/>
      <w:r w:rsidRPr="000C66F0">
        <w:rPr>
          <w:b w:val="0"/>
          <w:szCs w:val="22"/>
          <w:lang w:val="de-DE"/>
        </w:rPr>
        <w:t xml:space="preserve"> i </w:t>
      </w:r>
      <w:proofErr w:type="spellStart"/>
      <w:r w:rsidRPr="000C66F0">
        <w:rPr>
          <w:b w:val="0"/>
          <w:szCs w:val="22"/>
          <w:lang w:val="de-DE"/>
        </w:rPr>
        <w:t>brz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tijek</w:t>
      </w:r>
      <w:proofErr w:type="spellEnd"/>
      <w:r w:rsidRPr="000C66F0">
        <w:rPr>
          <w:b w:val="0"/>
          <w:szCs w:val="22"/>
          <w:lang w:val="de-DE"/>
        </w:rPr>
        <w:t xml:space="preserve"> </w:t>
      </w:r>
      <w:proofErr w:type="spellStart"/>
      <w:r w:rsidRPr="000C66F0">
        <w:rPr>
          <w:b w:val="0"/>
          <w:szCs w:val="22"/>
          <w:lang w:val="de-DE"/>
        </w:rPr>
        <w:t>gradnje</w:t>
      </w:r>
      <w:proofErr w:type="spellEnd"/>
      <w:r w:rsidRPr="000C66F0">
        <w:rPr>
          <w:b w:val="0"/>
          <w:szCs w:val="22"/>
          <w:lang w:val="de-DE"/>
        </w:rPr>
        <w:t>.</w:t>
      </w:r>
    </w:p>
    <w:p w:rsidR="00374AF1" w:rsidRPr="000C66F0" w:rsidRDefault="00374AF1" w:rsidP="00EC23D2">
      <w:pPr>
        <w:pStyle w:val="Fotohinweis"/>
        <w:spacing w:line="276" w:lineRule="auto"/>
        <w:jc w:val="both"/>
        <w:rPr>
          <w:szCs w:val="22"/>
          <w:lang w:val="de-DE"/>
        </w:rPr>
      </w:pPr>
      <w:proofErr w:type="spellStart"/>
      <w:r w:rsidRPr="000C66F0">
        <w:rPr>
          <w:szCs w:val="22"/>
          <w:lang w:val="de-DE"/>
        </w:rPr>
        <w:t>Photo</w:t>
      </w:r>
      <w:proofErr w:type="spellEnd"/>
      <w:r w:rsidRPr="000C66F0">
        <w:rPr>
          <w:szCs w:val="22"/>
          <w:lang w:val="de-DE"/>
        </w:rPr>
        <w:t xml:space="preserve">: </w:t>
      </w:r>
      <w:proofErr w:type="spellStart"/>
      <w:r w:rsidRPr="000C66F0">
        <w:rPr>
          <w:szCs w:val="22"/>
          <w:lang w:val="de-DE"/>
        </w:rPr>
        <w:t>Doka</w:t>
      </w:r>
      <w:proofErr w:type="spellEnd"/>
    </w:p>
    <w:p w:rsidR="008D19FC" w:rsidRPr="000C66F0" w:rsidRDefault="008D19FC" w:rsidP="00EC23D2">
      <w:pPr>
        <w:spacing w:line="276" w:lineRule="auto"/>
        <w:contextualSpacing/>
        <w:jc w:val="both"/>
        <w:rPr>
          <w:rFonts w:cs="Arial"/>
          <w:color w:val="auto"/>
          <w:szCs w:val="22"/>
          <w:lang w:val="hr-HR"/>
        </w:rPr>
      </w:pPr>
    </w:p>
    <w:p w:rsidR="00A17E82" w:rsidRPr="000C66F0" w:rsidRDefault="00A17E82" w:rsidP="00EC23D2">
      <w:pPr>
        <w:spacing w:line="276" w:lineRule="auto"/>
        <w:contextualSpacing/>
        <w:jc w:val="both"/>
        <w:rPr>
          <w:rFonts w:cs="Arial"/>
          <w:color w:val="auto"/>
          <w:szCs w:val="22"/>
          <w:lang w:val="hr-HR"/>
        </w:rPr>
      </w:pPr>
    </w:p>
    <w:p w:rsidR="00A17E82" w:rsidRPr="000C66F0" w:rsidRDefault="00A17E82" w:rsidP="00A17E82">
      <w:pPr>
        <w:spacing w:line="276" w:lineRule="auto"/>
        <w:contextualSpacing/>
        <w:jc w:val="both"/>
        <w:rPr>
          <w:rFonts w:cs="Arial"/>
          <w:color w:val="auto"/>
          <w:szCs w:val="22"/>
          <w:lang w:val="hr-HR"/>
        </w:rPr>
      </w:pPr>
    </w:p>
    <w:p w:rsidR="00A17E82" w:rsidRPr="000C66F0" w:rsidRDefault="00A17E82" w:rsidP="00EC23D2">
      <w:pPr>
        <w:spacing w:line="276" w:lineRule="auto"/>
        <w:contextualSpacing/>
        <w:jc w:val="both"/>
        <w:rPr>
          <w:rFonts w:cs="Arial"/>
          <w:color w:val="auto"/>
          <w:szCs w:val="22"/>
          <w:lang w:val="hr-HR"/>
        </w:rPr>
      </w:pPr>
    </w:p>
    <w:sectPr w:rsidR="00A17E82" w:rsidRPr="000C66F0" w:rsidSect="008100B0">
      <w:headerReference w:type="default" r:id="rId8"/>
      <w:pgSz w:w="11906" w:h="16838" w:code="9"/>
      <w:pgMar w:top="720" w:right="720" w:bottom="720" w:left="720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72" w:rsidRDefault="007E6672">
      <w:r>
        <w:separator/>
      </w:r>
    </w:p>
  </w:endnote>
  <w:endnote w:type="continuationSeparator" w:id="0">
    <w:p w:rsidR="007E6672" w:rsidRDefault="007E6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72" w:rsidRDefault="007E6672">
      <w:r>
        <w:separator/>
      </w:r>
    </w:p>
  </w:footnote>
  <w:footnote w:type="continuationSeparator" w:id="0">
    <w:p w:rsidR="007E6672" w:rsidRDefault="007E6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72" w:rsidRDefault="007E6672">
    <w:pPr>
      <w:pStyle w:val="Zaglavlje"/>
    </w:pPr>
    <w:r>
      <w:tab/>
    </w:r>
    <w:r>
      <w:tab/>
      <w:t xml:space="preserve">       </w:t>
    </w:r>
    <w:r w:rsidRPr="00076BD2">
      <w:rPr>
        <w:noProof/>
        <w:lang w:val="hr-HR" w:eastAsia="hr-HR"/>
      </w:rPr>
      <w:drawing>
        <wp:inline distT="0" distB="0" distL="0" distR="0">
          <wp:extent cx="1558925" cy="616585"/>
          <wp:effectExtent l="19050" t="0" r="3175" b="0"/>
          <wp:docPr id="3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5424"/>
  <w:defaultTabStop w:val="720"/>
  <w:hyphenationZone w:val="425"/>
  <w:drawingGridHorizontalSpacing w:val="110"/>
  <w:drawingGridVerticalSpacing w:val="181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72546"/>
    <w:rsid w:val="00005BA4"/>
    <w:rsid w:val="0001072E"/>
    <w:rsid w:val="0001239A"/>
    <w:rsid w:val="00015F66"/>
    <w:rsid w:val="00016591"/>
    <w:rsid w:val="000214F9"/>
    <w:rsid w:val="00022CF9"/>
    <w:rsid w:val="000251EE"/>
    <w:rsid w:val="00030363"/>
    <w:rsid w:val="000457D7"/>
    <w:rsid w:val="0006146F"/>
    <w:rsid w:val="00066095"/>
    <w:rsid w:val="00072B49"/>
    <w:rsid w:val="00073AC8"/>
    <w:rsid w:val="00076BD2"/>
    <w:rsid w:val="00076DB5"/>
    <w:rsid w:val="000773D4"/>
    <w:rsid w:val="000931C4"/>
    <w:rsid w:val="000A4782"/>
    <w:rsid w:val="000A6BF4"/>
    <w:rsid w:val="000A6CDC"/>
    <w:rsid w:val="000B2911"/>
    <w:rsid w:val="000B7ED1"/>
    <w:rsid w:val="000C08B1"/>
    <w:rsid w:val="000C09CF"/>
    <w:rsid w:val="000C0E0C"/>
    <w:rsid w:val="000C66F0"/>
    <w:rsid w:val="000D0CDF"/>
    <w:rsid w:val="000D3FE3"/>
    <w:rsid w:val="000D6022"/>
    <w:rsid w:val="000E666B"/>
    <w:rsid w:val="000F0A26"/>
    <w:rsid w:val="000F27D8"/>
    <w:rsid w:val="000F2860"/>
    <w:rsid w:val="000F4035"/>
    <w:rsid w:val="000F4755"/>
    <w:rsid w:val="000F6CA7"/>
    <w:rsid w:val="00101154"/>
    <w:rsid w:val="00101A73"/>
    <w:rsid w:val="00111512"/>
    <w:rsid w:val="00121825"/>
    <w:rsid w:val="00130550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1881"/>
    <w:rsid w:val="001A3C69"/>
    <w:rsid w:val="001B24D6"/>
    <w:rsid w:val="001B66E8"/>
    <w:rsid w:val="001C2B26"/>
    <w:rsid w:val="001C7436"/>
    <w:rsid w:val="001D775D"/>
    <w:rsid w:val="001E625B"/>
    <w:rsid w:val="001F0607"/>
    <w:rsid w:val="001F4501"/>
    <w:rsid w:val="001F54CB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62F74"/>
    <w:rsid w:val="00264A76"/>
    <w:rsid w:val="00270768"/>
    <w:rsid w:val="00272D66"/>
    <w:rsid w:val="002735CF"/>
    <w:rsid w:val="0028229F"/>
    <w:rsid w:val="002878DF"/>
    <w:rsid w:val="00292272"/>
    <w:rsid w:val="00292958"/>
    <w:rsid w:val="00295046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0B04"/>
    <w:rsid w:val="002F570B"/>
    <w:rsid w:val="002F6989"/>
    <w:rsid w:val="0030061E"/>
    <w:rsid w:val="00307F96"/>
    <w:rsid w:val="00316391"/>
    <w:rsid w:val="003254C3"/>
    <w:rsid w:val="00325611"/>
    <w:rsid w:val="00330F02"/>
    <w:rsid w:val="00365DBB"/>
    <w:rsid w:val="00371B67"/>
    <w:rsid w:val="00372546"/>
    <w:rsid w:val="00374AF1"/>
    <w:rsid w:val="00375913"/>
    <w:rsid w:val="003764D7"/>
    <w:rsid w:val="00380A98"/>
    <w:rsid w:val="00383394"/>
    <w:rsid w:val="00385FA2"/>
    <w:rsid w:val="00386AD2"/>
    <w:rsid w:val="00393CDB"/>
    <w:rsid w:val="003A5B0C"/>
    <w:rsid w:val="003A79FC"/>
    <w:rsid w:val="003B3FCB"/>
    <w:rsid w:val="003C74F9"/>
    <w:rsid w:val="003D3D35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0A89"/>
    <w:rsid w:val="004361E6"/>
    <w:rsid w:val="00455EFF"/>
    <w:rsid w:val="00463017"/>
    <w:rsid w:val="004639B7"/>
    <w:rsid w:val="00463CD4"/>
    <w:rsid w:val="00474177"/>
    <w:rsid w:val="004758D0"/>
    <w:rsid w:val="0048426A"/>
    <w:rsid w:val="004966D4"/>
    <w:rsid w:val="004A0EF2"/>
    <w:rsid w:val="004A11B0"/>
    <w:rsid w:val="004B0024"/>
    <w:rsid w:val="004D793D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70605"/>
    <w:rsid w:val="0058455E"/>
    <w:rsid w:val="00584860"/>
    <w:rsid w:val="005900C1"/>
    <w:rsid w:val="00594A33"/>
    <w:rsid w:val="005965EE"/>
    <w:rsid w:val="005A3BD7"/>
    <w:rsid w:val="005B7956"/>
    <w:rsid w:val="005C05EF"/>
    <w:rsid w:val="005C103E"/>
    <w:rsid w:val="005C4ED3"/>
    <w:rsid w:val="005D590E"/>
    <w:rsid w:val="005D6537"/>
    <w:rsid w:val="005E5120"/>
    <w:rsid w:val="005F4E67"/>
    <w:rsid w:val="00605ED4"/>
    <w:rsid w:val="006174CA"/>
    <w:rsid w:val="0062650A"/>
    <w:rsid w:val="00626A22"/>
    <w:rsid w:val="00641955"/>
    <w:rsid w:val="006459F5"/>
    <w:rsid w:val="006542E6"/>
    <w:rsid w:val="006546E9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14C1D"/>
    <w:rsid w:val="00725B43"/>
    <w:rsid w:val="00743D15"/>
    <w:rsid w:val="0074598C"/>
    <w:rsid w:val="007468BB"/>
    <w:rsid w:val="00754E98"/>
    <w:rsid w:val="007619EF"/>
    <w:rsid w:val="00765BFB"/>
    <w:rsid w:val="007741F3"/>
    <w:rsid w:val="007763C0"/>
    <w:rsid w:val="00782A7A"/>
    <w:rsid w:val="007A4A33"/>
    <w:rsid w:val="007B112B"/>
    <w:rsid w:val="007B27E3"/>
    <w:rsid w:val="007B36E6"/>
    <w:rsid w:val="007B746C"/>
    <w:rsid w:val="007C1F7C"/>
    <w:rsid w:val="007C4F72"/>
    <w:rsid w:val="007D13FB"/>
    <w:rsid w:val="007D3940"/>
    <w:rsid w:val="007E09C2"/>
    <w:rsid w:val="007E243A"/>
    <w:rsid w:val="007E6672"/>
    <w:rsid w:val="007F1B5C"/>
    <w:rsid w:val="00802C3F"/>
    <w:rsid w:val="008040BC"/>
    <w:rsid w:val="008071E0"/>
    <w:rsid w:val="00807495"/>
    <w:rsid w:val="008100B0"/>
    <w:rsid w:val="008122E0"/>
    <w:rsid w:val="0081290E"/>
    <w:rsid w:val="008168B4"/>
    <w:rsid w:val="00816DAA"/>
    <w:rsid w:val="00826274"/>
    <w:rsid w:val="00841263"/>
    <w:rsid w:val="0084602A"/>
    <w:rsid w:val="00853D71"/>
    <w:rsid w:val="00856656"/>
    <w:rsid w:val="00857E2F"/>
    <w:rsid w:val="00860D80"/>
    <w:rsid w:val="00861C28"/>
    <w:rsid w:val="00862648"/>
    <w:rsid w:val="00872B48"/>
    <w:rsid w:val="0087423F"/>
    <w:rsid w:val="008850B1"/>
    <w:rsid w:val="0088590F"/>
    <w:rsid w:val="00892BD9"/>
    <w:rsid w:val="008930A4"/>
    <w:rsid w:val="008938F0"/>
    <w:rsid w:val="00894E04"/>
    <w:rsid w:val="00895C3E"/>
    <w:rsid w:val="00895F8F"/>
    <w:rsid w:val="008B7FD4"/>
    <w:rsid w:val="008C24F7"/>
    <w:rsid w:val="008C3FD8"/>
    <w:rsid w:val="008C7981"/>
    <w:rsid w:val="008D19FC"/>
    <w:rsid w:val="008D1E1D"/>
    <w:rsid w:val="008D3FB1"/>
    <w:rsid w:val="008D7EB7"/>
    <w:rsid w:val="008E01B1"/>
    <w:rsid w:val="008E371D"/>
    <w:rsid w:val="0090203F"/>
    <w:rsid w:val="009036B6"/>
    <w:rsid w:val="009059DD"/>
    <w:rsid w:val="0091326C"/>
    <w:rsid w:val="0091399C"/>
    <w:rsid w:val="009142E4"/>
    <w:rsid w:val="00915706"/>
    <w:rsid w:val="0092382A"/>
    <w:rsid w:val="009249D5"/>
    <w:rsid w:val="00924B2E"/>
    <w:rsid w:val="00925429"/>
    <w:rsid w:val="0093020F"/>
    <w:rsid w:val="009352D9"/>
    <w:rsid w:val="009355F1"/>
    <w:rsid w:val="00936343"/>
    <w:rsid w:val="00946116"/>
    <w:rsid w:val="00947527"/>
    <w:rsid w:val="00947EF7"/>
    <w:rsid w:val="00950FA8"/>
    <w:rsid w:val="009516BD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C2713"/>
    <w:rsid w:val="009D5DB0"/>
    <w:rsid w:val="009E3BD4"/>
    <w:rsid w:val="009F443D"/>
    <w:rsid w:val="009F502C"/>
    <w:rsid w:val="009F780B"/>
    <w:rsid w:val="00A0387C"/>
    <w:rsid w:val="00A06086"/>
    <w:rsid w:val="00A12EBE"/>
    <w:rsid w:val="00A157F9"/>
    <w:rsid w:val="00A17DD2"/>
    <w:rsid w:val="00A17E82"/>
    <w:rsid w:val="00A247B8"/>
    <w:rsid w:val="00A25681"/>
    <w:rsid w:val="00A262A3"/>
    <w:rsid w:val="00A3194C"/>
    <w:rsid w:val="00A4043A"/>
    <w:rsid w:val="00A62EEB"/>
    <w:rsid w:val="00A758AD"/>
    <w:rsid w:val="00A80792"/>
    <w:rsid w:val="00A80CDE"/>
    <w:rsid w:val="00A833FC"/>
    <w:rsid w:val="00A91D5D"/>
    <w:rsid w:val="00A957C5"/>
    <w:rsid w:val="00AA1120"/>
    <w:rsid w:val="00AA4BB9"/>
    <w:rsid w:val="00AB14FB"/>
    <w:rsid w:val="00AB4CCF"/>
    <w:rsid w:val="00AB5699"/>
    <w:rsid w:val="00AE3D60"/>
    <w:rsid w:val="00AE68AC"/>
    <w:rsid w:val="00AF032B"/>
    <w:rsid w:val="00AF0FDF"/>
    <w:rsid w:val="00AF4B4A"/>
    <w:rsid w:val="00AF7050"/>
    <w:rsid w:val="00B010C7"/>
    <w:rsid w:val="00B03209"/>
    <w:rsid w:val="00B10489"/>
    <w:rsid w:val="00B156A8"/>
    <w:rsid w:val="00B17C01"/>
    <w:rsid w:val="00B31243"/>
    <w:rsid w:val="00B31C75"/>
    <w:rsid w:val="00B3679E"/>
    <w:rsid w:val="00B43CC4"/>
    <w:rsid w:val="00B56D6D"/>
    <w:rsid w:val="00B75217"/>
    <w:rsid w:val="00B84E30"/>
    <w:rsid w:val="00B878D2"/>
    <w:rsid w:val="00B924BD"/>
    <w:rsid w:val="00BA29C0"/>
    <w:rsid w:val="00BA38D4"/>
    <w:rsid w:val="00BA412F"/>
    <w:rsid w:val="00BA4A3F"/>
    <w:rsid w:val="00BA6027"/>
    <w:rsid w:val="00BB5CC5"/>
    <w:rsid w:val="00BD0D69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66598"/>
    <w:rsid w:val="00C700EB"/>
    <w:rsid w:val="00C76077"/>
    <w:rsid w:val="00C8137A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6D19"/>
    <w:rsid w:val="00CE716B"/>
    <w:rsid w:val="00CF1ED1"/>
    <w:rsid w:val="00CF3205"/>
    <w:rsid w:val="00CF52D3"/>
    <w:rsid w:val="00D02B96"/>
    <w:rsid w:val="00D04B9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57116"/>
    <w:rsid w:val="00D62FFE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038AC"/>
    <w:rsid w:val="00E162C3"/>
    <w:rsid w:val="00E258B1"/>
    <w:rsid w:val="00E42DE3"/>
    <w:rsid w:val="00E454A2"/>
    <w:rsid w:val="00E46FD1"/>
    <w:rsid w:val="00E51BBF"/>
    <w:rsid w:val="00E51C62"/>
    <w:rsid w:val="00E66287"/>
    <w:rsid w:val="00E80C5C"/>
    <w:rsid w:val="00E821B8"/>
    <w:rsid w:val="00E863D4"/>
    <w:rsid w:val="00E90D17"/>
    <w:rsid w:val="00E92FD5"/>
    <w:rsid w:val="00EA0280"/>
    <w:rsid w:val="00EA377C"/>
    <w:rsid w:val="00EC23D2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473EF"/>
    <w:rsid w:val="00F500C7"/>
    <w:rsid w:val="00F50BEE"/>
    <w:rsid w:val="00F74863"/>
    <w:rsid w:val="00F76C46"/>
    <w:rsid w:val="00F87038"/>
    <w:rsid w:val="00F87D38"/>
    <w:rsid w:val="00F97455"/>
    <w:rsid w:val="00FA7083"/>
    <w:rsid w:val="00FA728F"/>
    <w:rsid w:val="00FB5539"/>
    <w:rsid w:val="00FB575D"/>
    <w:rsid w:val="00FC06EC"/>
    <w:rsid w:val="00FC3BB8"/>
    <w:rsid w:val="00FC68A1"/>
    <w:rsid w:val="00FD2175"/>
    <w:rsid w:val="00FF6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Naslov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slov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slov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slov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slov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slov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92542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Kartadokumenta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popisa"/>
    <w:rsid w:val="00C846DE"/>
    <w:pPr>
      <w:numPr>
        <w:numId w:val="30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016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659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91"/>
    <w:rPr>
      <w:b/>
      <w:bCs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veza">
    <w:name w:val="Hyperlink"/>
    <w:basedOn w:val="Zadanifontodlom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customStyle="1" w:styleId="Fotohinweis">
    <w:name w:val="Fotohinweis"/>
    <w:basedOn w:val="Normal"/>
    <w:rsid w:val="00FC68A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color w:val="auto"/>
      <w:szCs w:val="20"/>
      <w:lang w:val="en-GB" w:eastAsia="en-GB" w:bidi="en-GB"/>
    </w:rPr>
  </w:style>
  <w:style w:type="paragraph" w:customStyle="1" w:styleId="Einleitung">
    <w:name w:val="Einleitung"/>
    <w:basedOn w:val="Kartadokumenta"/>
    <w:rsid w:val="00374AF1"/>
    <w:pPr>
      <w:shd w:val="clear" w:color="auto" w:fill="auto"/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color w:val="auto"/>
      <w:szCs w:val="20"/>
      <w:lang w:val="en-GB" w:eastAsia="en-GB" w:bidi="en-GB"/>
    </w:rPr>
  </w:style>
  <w:style w:type="paragraph" w:customStyle="1" w:styleId="Bildunterschrift">
    <w:name w:val="Bildunterschrift"/>
    <w:basedOn w:val="Normal"/>
    <w:rsid w:val="00374AF1"/>
    <w:pPr>
      <w:keepNext/>
      <w:keepLines/>
      <w:overflowPunct w:val="0"/>
      <w:autoSpaceDE w:val="0"/>
      <w:autoSpaceDN w:val="0"/>
      <w:adjustRightInd w:val="0"/>
      <w:spacing w:before="240"/>
      <w:textAlignment w:val="baseline"/>
    </w:pPr>
    <w:rPr>
      <w:rFonts w:cs="Arial"/>
      <w:b/>
      <w:bCs/>
      <w:iCs/>
      <w:color w:val="auto"/>
      <w:szCs w:val="20"/>
      <w:lang w:val="en-GB" w:eastAsia="en-GB" w:bidi="en-GB"/>
    </w:rPr>
  </w:style>
  <w:style w:type="paragraph" w:styleId="StandardWeb">
    <w:name w:val="Normal (Web)"/>
    <w:basedOn w:val="Normal"/>
    <w:uiPriority w:val="99"/>
    <w:unhideWhenUsed/>
    <w:rsid w:val="00374AF1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GB" w:eastAsia="en-GB" w:bidi="en-GB"/>
    </w:rPr>
  </w:style>
  <w:style w:type="paragraph" w:customStyle="1" w:styleId="SubHead">
    <w:name w:val="SubHead"/>
    <w:basedOn w:val="Einleitung"/>
    <w:rsid w:val="00895C3E"/>
    <w:rPr>
      <w:lang w:val="de-DE" w:eastAsia="de-D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55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8546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60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6662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0AF2A-F266-4412-9BF3-5A3D5C00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1372</Words>
  <Characters>8674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Group</Company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Subat Suzana</cp:lastModifiedBy>
  <cp:revision>10</cp:revision>
  <cp:lastPrinted>2013-12-13T13:40:00Z</cp:lastPrinted>
  <dcterms:created xsi:type="dcterms:W3CDTF">2014-03-13T15:19:00Z</dcterms:created>
  <dcterms:modified xsi:type="dcterms:W3CDTF">2014-08-12T10:50:00Z</dcterms:modified>
</cp:coreProperties>
</file>